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Northwind Field Guide</w:t>
      </w:r>
    </w:p>
    <w:p>
      <w:r>
        <w:t xml:space="preserve">How the team positions the platform in a first meeting.</w:t>
      </w:r>
    </w:p>
    <w:p>
      <w:pPr>
        <w:pStyle w:val="Heading1"/>
      </w:pPr>
      <w:r>
        <w:t xml:space="preserve">Positioning</w:t>
      </w:r>
    </w:p>
    <w:p>
      <w:r>
        <w:t xml:space="preserve">Northwind sells into regulated operations teams. The buyer is rarely the user, and the user is rarely in the room.</w:t>
      </w:r>
    </w:p>
    <w:p>
      <w:pPr>
        <w:pStyle w:val="Heading2"/>
      </w:pPr>
      <w:r>
        <w:t xml:space="preserve">What we say first</w:t>
      </w:r>
    </w:p>
    <w:p>
      <w:pPr>
        <w:numPr>
          <w:ilvl w:val="0"/>
          <w:numId w:val="1"/>
        </w:numPr>
      </w:pPr>
      <w:r>
        <w:t xml:space="preserve">Start with the audit trail.</w:t>
      </w:r>
    </w:p>
    <w:p>
      <w:pPr>
        <w:numPr>
          <w:ilvl w:val="0"/>
          <w:numId w:val="1"/>
        </w:numPr>
      </w:pPr>
      <w:r>
        <w:t xml:space="preserve">Show the approval chain second.</w:t>
      </w:r>
    </w:p>
    <w:p>
      <w:pPr>
        <w:numPr>
          <w:ilvl w:val="0"/>
          <w:numId w:val="1"/>
        </w:numPr>
      </w:pPr>
      <w:r>
        <w:t xml:space="preserve">Never lead with the integrations list.</w:t>
      </w:r>
    </w:p>
    <w:p>
      <w:pPr>
        <w:pStyle w:val="Heading2"/>
      </w:pPr>
      <w:r>
        <w:t xml:space="preserve">Sequence for the demo</w:t>
      </w:r>
    </w:p>
    <w:p>
      <w:pPr>
        <w:numPr>
          <w:ilvl w:val="0"/>
          <w:numId w:val="2"/>
        </w:numPr>
      </w:pPr>
      <w:r>
        <w:t xml:space="preserve">Open with their own content.</w:t>
      </w:r>
    </w:p>
    <w:p>
      <w:pPr>
        <w:numPr>
          <w:ilvl w:val="0"/>
          <w:numId w:val="2"/>
        </w:numPr>
      </w:pPr>
      <w:r>
        <w:t xml:space="preserve">Branch on the compliance objection.</w:t>
      </w:r>
    </w:p>
    <w:p>
      <w:pPr>
        <w:numPr>
          <w:ilvl w:val="0"/>
          <w:numId w:val="2"/>
        </w:numPr>
      </w:pPr>
      <w:r>
        <w:t xml:space="preserve">Close on the approval chain.</w:t>
      </w:r>
    </w:p>
    <w:tbl>
      <w:tblPr/>
      <w:tblGrid/>
      <w:tr>
        <w:trPr>
          <w:tblHeader/>
        </w:trPr>
        <w:tc>
          <w:tcPr/>
          <w:p>
            <w:r>
              <w:rPr>
                <w:b/>
              </w:rPr>
              <w:t xml:space="preserve">Segment</w:t>
            </w:r>
          </w:p>
        </w:tc>
        <w:tc>
          <w:tcPr/>
          <w:p>
            <w:r>
              <w:rPr>
                <w:b/>
              </w:rPr>
              <w:t xml:space="preserve">Primary objection</w:t>
            </w:r>
          </w:p>
        </w:tc>
        <w:tc>
          <w:tcPr/>
          <w:p>
            <w:r>
              <w:rPr>
                <w:b/>
              </w:rPr>
              <w:t xml:space="preserve">Branch</w:t>
            </w:r>
          </w:p>
        </w:tc>
      </w:tr>
      <w:tr>
        <w:tc>
          <w:tcPr/>
          <w:p>
            <w:r>
              <w:t xml:space="preserve">Regulated ops</w:t>
            </w:r>
          </w:p>
        </w:tc>
        <w:tc>
          <w:tcPr/>
          <w:p>
            <w:r>
              <w:t xml:space="preserve">Our situation is different</w:t>
            </w:r>
          </w:p>
        </w:tc>
        <w:tc>
          <w:tcPr/>
          <w:p>
            <w:r>
              <w:t xml:space="preserve">locale-fanout</w:t>
            </w:r>
          </w:p>
        </w:tc>
      </w:tr>
      <w:tr>
        <w:tc>
          <w:tcPr/>
          <w:p>
            <w:r>
              <w:t xml:space="preserve">Central marketing</w:t>
            </w:r>
          </w:p>
        </w:tc>
        <w:tc>
          <w:tcPr/>
          <w:p>
            <w:r>
              <w:t xml:space="preserve">Who approves this</w:t>
            </w:r>
          </w:p>
        </w:tc>
        <w:tc>
          <w:tcPr/>
          <w:p>
            <w:r>
              <w:t xml:space="preserve">approval-chain</w:t>
            </w:r>
          </w:p>
        </w:tc>
      </w:tr>
    </w:tbl>
    <w:p>
      <w:pPr>
        <w:pStyle w:val="IntenseQuote"/>
      </w:pPr>
      <w:r>
        <w:t xml:space="preserve">“The proof has to be built on their content, or it is a slideshow.”</w:t>
      </w:r>
    </w:p>
    <w:p>
      <w:r>
        <w:drawing>
          <wp:inline xmlns:wp="http://schemas.openxmlformats.org/drawingml/2006/wordprocessingDrawing">
            <wp:extent cx="914400" cy="914400"/>
            <wp:docPr id="1" name="Picture 1" descr="Northwind wordmark on a dark field"/>
            <a:graphic xmlns:a="http://schemas.openxmlformats.org/drawingml/2006/main">
              <a:graphicData>
                <pic:pic xmlns:pic="http://schemas.openxmlformats.org/drawingml/2006/picture">
                  <pic:blipFill>
                    <a:blip xmlns:r="http://schemas.openxmlformats.org/officeDocument/2006/relationships" r:embed="rId3"/>
                  </pic:blipFill>
                </pic:pic>
              </a:graphicData>
            </a:graphic>
          </wp:inline>
        </w:drawing>
      </w:r>
    </w:p>
    <w:p>
      <w:hyperlink r:id="rId4">
        <w:r>
          <w:t>See the pricing page</w:t>
        </w:r>
      </w:hyperlink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IntenseQuote">
    <w:name w:val="Intense Quote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image" Target="media/image1.png"/>
<Relationship Id="rId4" Type="http://schemas.openxmlformats.org/officeDocument/2006/relationships/hyperlink" Target="https://northwind.example/pricing" TargetMode="Externa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Northwind Field Guide</dc:title>
  <dc:creator>Dana Reyes</dc:creator>
  <dc:language>en-GB</dc:language>
  <dcterms:created>2026-01-01T00:00:00Z</dcterms:created>
</cp:coreProperties>
</file>