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40" w:lineRule="auto"/>
      </w:pPr>
      <w:r>
        <w:rPr>
          <w:rFonts w:ascii="Arial" w:hAnsi="Arial" w:eastAsia="Arial" w:cs="Arial"/>
          <w:b/>
          <w:color w:val="0F172A"/>
          <w:sz w:val="36"/>
        </w:rPr>
        <w:t>Competitive Landscape Brief</w:t>
      </w:r>
    </w:p>
    <w:p>
      <w:pPr>
        <w:spacing w:after="240" w:line="240" w:lineRule="auto"/>
      </w:pPr>
      <w:r>
        <w:rPr>
          <w:rFonts w:ascii="Arial" w:hAnsi="Arial" w:eastAsia="Arial" w:cs="Arial"/>
          <w:b w:val="0"/>
          <w:i/>
          <w:color w:val="475569"/>
          <w:sz w:val="24"/>
        </w:rPr>
        <w:t>U.S. Local-Government Software Market — Vendor Profiles, Threat Assessment, and Heat-Zone Analysis</w:t>
      </w:r>
    </w:p>
    <w:p>
      <w:pPr>
        <w:spacing w:before="240" w:after="120" w:line="240" w:lineRule="auto"/>
      </w:pPr>
      <w:r>
        <w:rPr>
          <w:rFonts w:ascii="Arial" w:hAnsi="Arial" w:eastAsia="Arial" w:cs="Arial"/>
          <w:b/>
          <w:color w:val="0F172A"/>
          <w:sz w:val="26"/>
        </w:rPr>
        <w:t>Executive Summary</w:t>
      </w:r>
    </w:p>
    <w:p>
      <w:pPr>
        <w:spacing w:after="120" w:line="240" w:lineRule="auto"/>
      </w:pPr>
      <w:r>
        <w:rPr>
          <w:rFonts w:ascii="Arial" w:hAnsi="Arial" w:eastAsia="Arial" w:cs="Arial"/>
          <w:b w:val="0"/>
          <w:i w:val="0"/>
          <w:sz w:val="22"/>
        </w:rPr>
        <w:t>The U.S. local-government software TAM is approximately $2.34T in annual operating spend across 79,138 addressable entities (counties, municipalities, townships, and special districts; school districts excluded). Combined tracked-vendor footprint across the six competitors profiled in this brief totals roughly 19,789 customers — implying that even the named incumbents collectively reach a fraction of total addressable entities, leaving substantial white space, particularly in sub-10K-population municipalities and townships.</w:t>
      </w:r>
    </w:p>
    <w:p>
      <w:pPr>
        <w:spacing w:after="120" w:line="240" w:lineRule="auto"/>
      </w:pPr>
      <w:r>
        <w:rPr>
          <w:rFonts w:ascii="Arial" w:hAnsi="Arial" w:eastAsia="Arial" w:cs="Arial"/>
          <w:b w:val="0"/>
          <w:i w:val="0"/>
          <w:sz w:val="22"/>
        </w:rPr>
        <w:t>Tyler Technologies dominates the mid-to-large segment (13,000 customers published) with broad product coverage. Regional specialists (BS&amp;A in MI, Caselle in the Mountain West, gWorks in the Plains, Muni-Link in PA’s utility billing niche, TownCloud in the Southeast) hold defensible local positions but limited national share. The headline opportunity sits in the long tail of small municipalities and townships outside any incumbent’s home region.</w:t>
      </w:r>
    </w:p>
    <w:p>
      <w:pPr>
        <w:spacing w:before="240" w:after="120" w:line="240" w:lineRule="auto"/>
      </w:pPr>
      <w:r>
        <w:rPr>
          <w:rFonts w:ascii="Arial" w:hAnsi="Arial" w:eastAsia="Arial" w:cs="Arial"/>
          <w:b/>
          <w:color w:val="0F172A"/>
          <w:sz w:val="26"/>
        </w:rPr>
        <w:t>Methodology</w:t>
      </w:r>
    </w:p>
    <w:p>
      <w:pPr>
        <w:spacing w:after="120" w:line="240" w:lineRule="auto"/>
      </w:pPr>
      <w:r>
        <w:rPr>
          <w:rFonts w:ascii="Arial" w:hAnsi="Arial" w:eastAsia="Arial" w:cs="Arial"/>
          <w:b w:val="0"/>
          <w:i w:val="0"/>
          <w:sz w:val="22"/>
        </w:rPr>
        <w:t>Entity counts are sourced from the 2022 Census of Governments. Operating spend per entity is computed as entity_count × average_bucket_population × per_capita_spend (anchored to the Census Annual Survey of State and Local Government Finances 2022). Special-district spend uses a flat $7.6M average annual operating-spend per district. Per-vendor customer counts are published totals; per-state allocations weight HQ states, named case studies, and acquired-company home/service states, with a population-weighted residual. Each vendor’s allocated total is calibrated within ±15% of published.</w:t>
      </w:r>
    </w:p>
    <w:p>
      <w:pPr>
        <w:spacing w:before="240" w:after="120" w:line="240" w:lineRule="auto"/>
      </w:pPr>
      <w:r>
        <w:rPr>
          <w:rFonts w:ascii="Arial" w:hAnsi="Arial" w:eastAsia="Arial" w:cs="Arial"/>
          <w:b/>
          <w:color w:val="0F172A"/>
          <w:sz w:val="26"/>
        </w:rPr>
        <w:t>At-a-Glance Vendor Comparison</w:t>
      </w:r>
    </w:p>
    <w:tbl>
      <w:tblPr>
        <w:tblW w:type="dxa" w:w="8900"/>
        <w:jc w:val="left"/>
        <w:tblLayout w:type="fixed"/>
        <w:tblLook w:firstColumn="1" w:firstRow="1" w:lastColumn="0" w:lastRow="0" w:noHBand="0" w:noVBand="1" w:val="04A0"/>
      </w:tblPr>
      <w:tblGrid>
        <w:gridCol w:w="1700"/>
        <w:gridCol w:w="600"/>
        <w:gridCol w:w="1100"/>
        <w:gridCol w:w="1900"/>
        <w:gridCol w:w="2700"/>
        <w:gridCol w:w="900"/>
      </w:tblGrid>
      <w:tr>
        <w:tc>
          <w:tcPr>
            <w:tcW w:type="dxa" w:w="1700"/>
            <w:vAlign w:val="center"/>
            <w:shd w:val="clear" w:color="auto" w:fill="0F172A"/>
          </w:tcPr>
          <w:p>
            <w:pPr>
              <w:spacing w:after="0" w:line="240" w:lineRule="auto"/>
            </w:pPr>
            <w:r>
              <w:rPr>
                <w:rFonts w:ascii="Arial" w:hAnsi="Arial" w:eastAsia="Arial" w:cs="Arial"/>
                <w:b/>
                <w:color w:val="FFFFFF"/>
                <w:sz w:val="20"/>
              </w:rPr>
              <w:t>Vendor</w:t>
            </w:r>
          </w:p>
        </w:tc>
        <w:tc>
          <w:tcPr>
            <w:tcW w:type="dxa" w:w="600"/>
            <w:vAlign w:val="center"/>
            <w:shd w:val="clear" w:color="auto" w:fill="0F172A"/>
          </w:tcPr>
          <w:p>
            <w:pPr>
              <w:spacing w:after="0" w:line="240" w:lineRule="auto"/>
            </w:pPr>
            <w:r>
              <w:rPr>
                <w:rFonts w:ascii="Arial" w:hAnsi="Arial" w:eastAsia="Arial" w:cs="Arial"/>
                <w:b/>
                <w:color w:val="FFFFFF"/>
                <w:sz w:val="20"/>
              </w:rPr>
              <w:t>HQ</w:t>
            </w:r>
          </w:p>
        </w:tc>
        <w:tc>
          <w:tcPr>
            <w:tcW w:type="dxa" w:w="1100"/>
            <w:vAlign w:val="center"/>
            <w:shd w:val="clear" w:color="auto" w:fill="0F172A"/>
          </w:tcPr>
          <w:p>
            <w:pPr>
              <w:spacing w:after="0" w:line="240" w:lineRule="auto"/>
            </w:pPr>
            <w:r>
              <w:rPr>
                <w:rFonts w:ascii="Arial" w:hAnsi="Arial" w:eastAsia="Arial" w:cs="Arial"/>
                <w:b/>
                <w:color w:val="FFFFFF"/>
                <w:sz w:val="20"/>
              </w:rPr>
              <w:t>Customers</w:t>
            </w:r>
          </w:p>
        </w:tc>
        <w:tc>
          <w:tcPr>
            <w:tcW w:type="dxa" w:w="1900"/>
            <w:vAlign w:val="center"/>
            <w:shd w:val="clear" w:color="auto" w:fill="0F172A"/>
          </w:tcPr>
          <w:p>
            <w:pPr>
              <w:spacing w:after="0" w:line="240" w:lineRule="auto"/>
            </w:pPr>
            <w:r>
              <w:rPr>
                <w:rFonts w:ascii="Arial" w:hAnsi="Arial" w:eastAsia="Arial" w:cs="Arial"/>
                <w:b/>
                <w:color w:val="FFFFFF"/>
                <w:sz w:val="20"/>
              </w:rPr>
              <w:t>Size Target</w:t>
            </w:r>
          </w:p>
        </w:tc>
        <w:tc>
          <w:tcPr>
            <w:tcW w:type="dxa" w:w="2700"/>
            <w:vAlign w:val="center"/>
            <w:shd w:val="clear" w:color="auto" w:fill="0F172A"/>
          </w:tcPr>
          <w:p>
            <w:pPr>
              <w:spacing w:after="0" w:line="240" w:lineRule="auto"/>
            </w:pPr>
            <w:r>
              <w:rPr>
                <w:rFonts w:ascii="Arial" w:hAnsi="Arial" w:eastAsia="Arial" w:cs="Arial"/>
                <w:b/>
                <w:color w:val="FFFFFF"/>
                <w:sz w:val="20"/>
              </w:rPr>
              <w:t>Top States</w:t>
            </w:r>
          </w:p>
        </w:tc>
        <w:tc>
          <w:tcPr>
            <w:tcW w:type="dxa" w:w="900"/>
            <w:vAlign w:val="center"/>
            <w:shd w:val="clear" w:color="auto" w:fill="0F172A"/>
          </w:tcPr>
          <w:p>
            <w:pPr>
              <w:spacing w:after="0" w:line="240" w:lineRule="auto"/>
            </w:pPr>
            <w:r>
              <w:rPr>
                <w:rFonts w:ascii="Arial" w:hAnsi="Arial" w:eastAsia="Arial" w:cs="Arial"/>
                <w:b/>
                <w:color w:val="FFFFFF"/>
                <w:sz w:val="20"/>
              </w:rPr>
              <w:t>Threat</w:t>
            </w:r>
          </w:p>
        </w:tc>
      </w:tr>
      <w:tr>
        <w:tc>
          <w:tcPr>
            <w:tcW w:type="dxa" w:w="1700"/>
            <w:vAlign w:val="top"/>
          </w:tcPr>
          <w:p>
            <w:pPr>
              <w:spacing w:after="0" w:line="240" w:lineRule="auto"/>
            </w:pPr>
            <w:r>
              <w:rPr>
                <w:rFonts w:ascii="Arial" w:hAnsi="Arial" w:eastAsia="Arial" w:cs="Arial"/>
                <w:b w:val="0"/>
                <w:sz w:val="20"/>
              </w:rPr>
              <w:t>Tyler Technologies</w:t>
            </w:r>
          </w:p>
        </w:tc>
        <w:tc>
          <w:tcPr>
            <w:tcW w:type="dxa" w:w="600"/>
            <w:vAlign w:val="top"/>
          </w:tcPr>
          <w:p>
            <w:pPr>
              <w:spacing w:after="0" w:line="240" w:lineRule="auto"/>
            </w:pPr>
            <w:r>
              <w:rPr>
                <w:rFonts w:ascii="Arial" w:hAnsi="Arial" w:eastAsia="Arial" w:cs="Arial"/>
                <w:b w:val="0"/>
                <w:sz w:val="20"/>
              </w:rPr>
              <w:t>TX</w:t>
            </w:r>
          </w:p>
        </w:tc>
        <w:tc>
          <w:tcPr>
            <w:tcW w:type="dxa" w:w="1100"/>
            <w:vAlign w:val="top"/>
          </w:tcPr>
          <w:p>
            <w:pPr>
              <w:spacing w:after="0" w:line="240" w:lineRule="auto"/>
            </w:pPr>
            <w:r>
              <w:rPr>
                <w:rFonts w:ascii="Arial" w:hAnsi="Arial" w:eastAsia="Arial" w:cs="Arial"/>
                <w:b w:val="0"/>
                <w:sz w:val="20"/>
              </w:rPr>
              <w:t>13,000</w:t>
            </w:r>
          </w:p>
        </w:tc>
        <w:tc>
          <w:tcPr>
            <w:tcW w:type="dxa" w:w="1900"/>
            <w:vAlign w:val="top"/>
          </w:tcPr>
          <w:p>
            <w:pPr>
              <w:spacing w:after="0" w:line="240" w:lineRule="auto"/>
            </w:pPr>
            <w:r>
              <w:rPr>
                <w:rFonts w:ascii="Arial" w:hAnsi="Arial" w:eastAsia="Arial" w:cs="Arial"/>
                <w:b w:val="0"/>
                <w:sz w:val="20"/>
              </w:rPr>
              <w:t>Mid-to-large (10K-100K+)</w:t>
            </w:r>
          </w:p>
        </w:tc>
        <w:tc>
          <w:tcPr>
            <w:tcW w:type="dxa" w:w="2700"/>
            <w:vAlign w:val="top"/>
          </w:tcPr>
          <w:p>
            <w:pPr>
              <w:spacing w:after="0" w:line="240" w:lineRule="auto"/>
            </w:pPr>
            <w:r>
              <w:rPr>
                <w:rFonts w:ascii="Arial" w:hAnsi="Arial" w:eastAsia="Arial" w:cs="Arial"/>
                <w:b w:val="0"/>
                <w:sz w:val="20"/>
              </w:rPr>
              <w:t>TX (1100), CA (750)</w:t>
            </w:r>
          </w:p>
        </w:tc>
        <w:tc>
          <w:tcPr>
            <w:tcW w:type="dxa" w:w="900"/>
            <w:vAlign w:val="top"/>
          </w:tcPr>
          <w:p>
            <w:pPr>
              <w:spacing w:after="0" w:line="240" w:lineRule="auto"/>
            </w:pPr>
            <w:r>
              <w:rPr>
                <w:rFonts w:ascii="Arial" w:hAnsi="Arial" w:eastAsia="Arial" w:cs="Arial"/>
                <w:b w:val="0"/>
                <w:sz w:val="20"/>
              </w:rPr>
              <w:t>HIGH</w:t>
            </w:r>
          </w:p>
        </w:tc>
      </w:tr>
      <w:tr>
        <w:tc>
          <w:tcPr>
            <w:tcW w:type="dxa" w:w="1700"/>
            <w:vAlign w:val="top"/>
          </w:tcPr>
          <w:p>
            <w:pPr>
              <w:spacing w:after="0" w:line="240" w:lineRule="auto"/>
            </w:pPr>
            <w:r>
              <w:rPr>
                <w:rFonts w:ascii="Arial" w:hAnsi="Arial" w:eastAsia="Arial" w:cs="Arial"/>
                <w:b w:val="0"/>
                <w:sz w:val="20"/>
              </w:rPr>
              <w:t>BS&amp;A Software</w:t>
            </w:r>
          </w:p>
        </w:tc>
        <w:tc>
          <w:tcPr>
            <w:tcW w:type="dxa" w:w="600"/>
            <w:vAlign w:val="top"/>
          </w:tcPr>
          <w:p>
            <w:pPr>
              <w:spacing w:after="0" w:line="240" w:lineRule="auto"/>
            </w:pPr>
            <w:r>
              <w:rPr>
                <w:rFonts w:ascii="Arial" w:hAnsi="Arial" w:eastAsia="Arial" w:cs="Arial"/>
                <w:b w:val="0"/>
                <w:sz w:val="20"/>
              </w:rPr>
              <w:t>MI</w:t>
            </w:r>
          </w:p>
        </w:tc>
        <w:tc>
          <w:tcPr>
            <w:tcW w:type="dxa" w:w="1100"/>
            <w:vAlign w:val="top"/>
          </w:tcPr>
          <w:p>
            <w:pPr>
              <w:spacing w:after="0" w:line="240" w:lineRule="auto"/>
            </w:pPr>
            <w:r>
              <w:rPr>
                <w:rFonts w:ascii="Arial" w:hAnsi="Arial" w:eastAsia="Arial" w:cs="Arial"/>
                <w:b w:val="0"/>
                <w:sz w:val="20"/>
              </w:rPr>
              <w:t>2,500</w:t>
            </w:r>
          </w:p>
        </w:tc>
        <w:tc>
          <w:tcPr>
            <w:tcW w:type="dxa" w:w="1900"/>
            <w:vAlign w:val="top"/>
          </w:tcPr>
          <w:p>
            <w:pPr>
              <w:spacing w:after="0" w:line="240" w:lineRule="auto"/>
            </w:pPr>
            <w:r>
              <w:rPr>
                <w:rFonts w:ascii="Arial" w:hAnsi="Arial" w:eastAsia="Arial" w:cs="Arial"/>
                <w:b w:val="0"/>
                <w:sz w:val="20"/>
              </w:rPr>
              <w:t>Small-to-mid (1K-50K)</w:t>
            </w:r>
          </w:p>
        </w:tc>
        <w:tc>
          <w:tcPr>
            <w:tcW w:type="dxa" w:w="2700"/>
            <w:vAlign w:val="top"/>
          </w:tcPr>
          <w:p>
            <w:pPr>
              <w:spacing w:after="0" w:line="240" w:lineRule="auto"/>
            </w:pPr>
            <w:r>
              <w:rPr>
                <w:rFonts w:ascii="Arial" w:hAnsi="Arial" w:eastAsia="Arial" w:cs="Arial"/>
                <w:b w:val="0"/>
                <w:sz w:val="20"/>
              </w:rPr>
              <w:t>MI (1450), OH (220)</w:t>
            </w:r>
          </w:p>
        </w:tc>
        <w:tc>
          <w:tcPr>
            <w:tcW w:type="dxa" w:w="900"/>
            <w:vAlign w:val="top"/>
          </w:tcPr>
          <w:p>
            <w:pPr>
              <w:spacing w:after="0" w:line="240" w:lineRule="auto"/>
            </w:pPr>
            <w:r>
              <w:rPr>
                <w:rFonts w:ascii="Arial" w:hAnsi="Arial" w:eastAsia="Arial" w:cs="Arial"/>
                <w:b w:val="0"/>
                <w:sz w:val="20"/>
              </w:rPr>
              <w:t>MEDIUM</w:t>
            </w:r>
          </w:p>
        </w:tc>
      </w:tr>
      <w:tr>
        <w:tc>
          <w:tcPr>
            <w:tcW w:type="dxa" w:w="1700"/>
            <w:vAlign w:val="top"/>
          </w:tcPr>
          <w:p>
            <w:pPr>
              <w:spacing w:after="0" w:line="240" w:lineRule="auto"/>
            </w:pPr>
            <w:r>
              <w:rPr>
                <w:rFonts w:ascii="Arial" w:hAnsi="Arial" w:eastAsia="Arial" w:cs="Arial"/>
                <w:b w:val="0"/>
                <w:sz w:val="20"/>
              </w:rPr>
              <w:t>Caselle</w:t>
            </w:r>
          </w:p>
        </w:tc>
        <w:tc>
          <w:tcPr>
            <w:tcW w:type="dxa" w:w="600"/>
            <w:vAlign w:val="top"/>
          </w:tcPr>
          <w:p>
            <w:pPr>
              <w:spacing w:after="0" w:line="240" w:lineRule="auto"/>
            </w:pPr>
            <w:r>
              <w:rPr>
                <w:rFonts w:ascii="Arial" w:hAnsi="Arial" w:eastAsia="Arial" w:cs="Arial"/>
                <w:b w:val="0"/>
                <w:sz w:val="20"/>
              </w:rPr>
              <w:t>UT</w:t>
            </w:r>
          </w:p>
        </w:tc>
        <w:tc>
          <w:tcPr>
            <w:tcW w:type="dxa" w:w="1100"/>
            <w:vAlign w:val="top"/>
          </w:tcPr>
          <w:p>
            <w:pPr>
              <w:spacing w:after="0" w:line="240" w:lineRule="auto"/>
            </w:pPr>
            <w:r>
              <w:rPr>
                <w:rFonts w:ascii="Arial" w:hAnsi="Arial" w:eastAsia="Arial" w:cs="Arial"/>
                <w:b w:val="0"/>
                <w:sz w:val="20"/>
              </w:rPr>
              <w:t>1,000</w:t>
            </w:r>
          </w:p>
        </w:tc>
        <w:tc>
          <w:tcPr>
            <w:tcW w:type="dxa" w:w="1900"/>
            <w:vAlign w:val="top"/>
          </w:tcPr>
          <w:p>
            <w:pPr>
              <w:spacing w:after="0" w:line="240" w:lineRule="auto"/>
            </w:pPr>
            <w:r>
              <w:rPr>
                <w:rFonts w:ascii="Arial" w:hAnsi="Arial" w:eastAsia="Arial" w:cs="Arial"/>
                <w:b w:val="0"/>
                <w:sz w:val="20"/>
              </w:rPr>
              <w:t>Small (&lt;10K)</w:t>
            </w:r>
          </w:p>
        </w:tc>
        <w:tc>
          <w:tcPr>
            <w:tcW w:type="dxa" w:w="2700"/>
            <w:vAlign w:val="top"/>
          </w:tcPr>
          <w:p>
            <w:pPr>
              <w:spacing w:after="0" w:line="240" w:lineRule="auto"/>
            </w:pPr>
            <w:r>
              <w:rPr>
                <w:rFonts w:ascii="Arial" w:hAnsi="Arial" w:eastAsia="Arial" w:cs="Arial"/>
                <w:b w:val="0"/>
                <w:sz w:val="20"/>
              </w:rPr>
              <w:t>UT (280), ID (110)</w:t>
            </w:r>
          </w:p>
        </w:tc>
        <w:tc>
          <w:tcPr>
            <w:tcW w:type="dxa" w:w="900"/>
            <w:vAlign w:val="top"/>
          </w:tcPr>
          <w:p>
            <w:pPr>
              <w:spacing w:after="0" w:line="240" w:lineRule="auto"/>
            </w:pPr>
            <w:r>
              <w:rPr>
                <w:rFonts w:ascii="Arial" w:hAnsi="Arial" w:eastAsia="Arial" w:cs="Arial"/>
                <w:b w:val="0"/>
                <w:sz w:val="20"/>
              </w:rPr>
              <w:t>MEDIUM</w:t>
            </w:r>
          </w:p>
        </w:tc>
      </w:tr>
      <w:tr>
        <w:tc>
          <w:tcPr>
            <w:tcW w:type="dxa" w:w="1700"/>
            <w:vAlign w:val="top"/>
          </w:tcPr>
          <w:p>
            <w:pPr>
              <w:spacing w:after="0" w:line="240" w:lineRule="auto"/>
            </w:pPr>
            <w:r>
              <w:rPr>
                <w:rFonts w:ascii="Arial" w:hAnsi="Arial" w:eastAsia="Arial" w:cs="Arial"/>
                <w:b w:val="0"/>
                <w:sz w:val="20"/>
              </w:rPr>
              <w:t>gWorks</w:t>
            </w:r>
          </w:p>
        </w:tc>
        <w:tc>
          <w:tcPr>
            <w:tcW w:type="dxa" w:w="600"/>
            <w:vAlign w:val="top"/>
          </w:tcPr>
          <w:p>
            <w:pPr>
              <w:spacing w:after="0" w:line="240" w:lineRule="auto"/>
            </w:pPr>
            <w:r>
              <w:rPr>
                <w:rFonts w:ascii="Arial" w:hAnsi="Arial" w:eastAsia="Arial" w:cs="Arial"/>
                <w:b w:val="0"/>
                <w:sz w:val="20"/>
              </w:rPr>
              <w:t>NE</w:t>
            </w:r>
          </w:p>
        </w:tc>
        <w:tc>
          <w:tcPr>
            <w:tcW w:type="dxa" w:w="1100"/>
            <w:vAlign w:val="top"/>
          </w:tcPr>
          <w:p>
            <w:pPr>
              <w:spacing w:after="0" w:line="240" w:lineRule="auto"/>
            </w:pPr>
            <w:r>
              <w:rPr>
                <w:rFonts w:ascii="Arial" w:hAnsi="Arial" w:eastAsia="Arial" w:cs="Arial"/>
                <w:b w:val="0"/>
                <w:sz w:val="20"/>
              </w:rPr>
              <w:t>2,500</w:t>
            </w:r>
          </w:p>
        </w:tc>
        <w:tc>
          <w:tcPr>
            <w:tcW w:type="dxa" w:w="1900"/>
            <w:vAlign w:val="top"/>
          </w:tcPr>
          <w:p>
            <w:pPr>
              <w:spacing w:after="0" w:line="240" w:lineRule="auto"/>
            </w:pPr>
            <w:r>
              <w:rPr>
                <w:rFonts w:ascii="Arial" w:hAnsi="Arial" w:eastAsia="Arial" w:cs="Arial"/>
                <w:b w:val="0"/>
                <w:sz w:val="20"/>
              </w:rPr>
              <w:t>Very small (&lt;5K)</w:t>
            </w:r>
          </w:p>
        </w:tc>
        <w:tc>
          <w:tcPr>
            <w:tcW w:type="dxa" w:w="2700"/>
            <w:vAlign w:val="top"/>
          </w:tcPr>
          <w:p>
            <w:pPr>
              <w:spacing w:after="0" w:line="240" w:lineRule="auto"/>
            </w:pPr>
            <w:r>
              <w:rPr>
                <w:rFonts w:ascii="Arial" w:hAnsi="Arial" w:eastAsia="Arial" w:cs="Arial"/>
                <w:b w:val="0"/>
                <w:sz w:val="20"/>
              </w:rPr>
              <w:t>NE (480), IA (280)</w:t>
            </w:r>
          </w:p>
        </w:tc>
        <w:tc>
          <w:tcPr>
            <w:tcW w:type="dxa" w:w="900"/>
            <w:vAlign w:val="top"/>
          </w:tcPr>
          <w:p>
            <w:pPr>
              <w:spacing w:after="0" w:line="240" w:lineRule="auto"/>
            </w:pPr>
            <w:r>
              <w:rPr>
                <w:rFonts w:ascii="Arial" w:hAnsi="Arial" w:eastAsia="Arial" w:cs="Arial"/>
                <w:b w:val="0"/>
                <w:sz w:val="20"/>
              </w:rPr>
              <w:t>MEDIUM</w:t>
            </w:r>
          </w:p>
        </w:tc>
      </w:tr>
      <w:tr>
        <w:tc>
          <w:tcPr>
            <w:tcW w:type="dxa" w:w="1700"/>
            <w:vAlign w:val="top"/>
          </w:tcPr>
          <w:p>
            <w:pPr>
              <w:spacing w:after="0" w:line="240" w:lineRule="auto"/>
            </w:pPr>
            <w:r>
              <w:rPr>
                <w:rFonts w:ascii="Arial" w:hAnsi="Arial" w:eastAsia="Arial" w:cs="Arial"/>
                <w:b w:val="0"/>
                <w:sz w:val="20"/>
              </w:rPr>
              <w:t>Muni-Link</w:t>
            </w:r>
          </w:p>
        </w:tc>
        <w:tc>
          <w:tcPr>
            <w:tcW w:type="dxa" w:w="600"/>
            <w:vAlign w:val="top"/>
          </w:tcPr>
          <w:p>
            <w:pPr>
              <w:spacing w:after="0" w:line="240" w:lineRule="auto"/>
            </w:pPr>
            <w:r>
              <w:rPr>
                <w:rFonts w:ascii="Arial" w:hAnsi="Arial" w:eastAsia="Arial" w:cs="Arial"/>
                <w:b w:val="0"/>
                <w:sz w:val="20"/>
              </w:rPr>
              <w:t>PA</w:t>
            </w:r>
          </w:p>
        </w:tc>
        <w:tc>
          <w:tcPr>
            <w:tcW w:type="dxa" w:w="1100"/>
            <w:vAlign w:val="top"/>
          </w:tcPr>
          <w:p>
            <w:pPr>
              <w:spacing w:after="0" w:line="240" w:lineRule="auto"/>
            </w:pPr>
            <w:r>
              <w:rPr>
                <w:rFonts w:ascii="Arial" w:hAnsi="Arial" w:eastAsia="Arial" w:cs="Arial"/>
                <w:b w:val="0"/>
                <w:sz w:val="20"/>
              </w:rPr>
              <w:t>750</w:t>
            </w:r>
          </w:p>
        </w:tc>
        <w:tc>
          <w:tcPr>
            <w:tcW w:type="dxa" w:w="1900"/>
            <w:vAlign w:val="top"/>
          </w:tcPr>
          <w:p>
            <w:pPr>
              <w:spacing w:after="0" w:line="240" w:lineRule="auto"/>
            </w:pPr>
            <w:r>
              <w:rPr>
                <w:rFonts w:ascii="Arial" w:hAnsi="Arial" w:eastAsia="Arial" w:cs="Arial"/>
                <w:b w:val="0"/>
                <w:sz w:val="20"/>
              </w:rPr>
              <w:t>Small-to-mid utilities (1K-50K)</w:t>
            </w:r>
          </w:p>
        </w:tc>
        <w:tc>
          <w:tcPr>
            <w:tcW w:type="dxa" w:w="2700"/>
            <w:vAlign w:val="top"/>
          </w:tcPr>
          <w:p>
            <w:pPr>
              <w:spacing w:after="0" w:line="240" w:lineRule="auto"/>
            </w:pPr>
            <w:r>
              <w:rPr>
                <w:rFonts w:ascii="Arial" w:hAnsi="Arial" w:eastAsia="Arial" w:cs="Arial"/>
                <w:b w:val="0"/>
                <w:sz w:val="20"/>
              </w:rPr>
              <w:t>PA (220), OH (100)</w:t>
            </w:r>
          </w:p>
        </w:tc>
        <w:tc>
          <w:tcPr>
            <w:tcW w:type="dxa" w:w="900"/>
            <w:vAlign w:val="top"/>
          </w:tcPr>
          <w:p>
            <w:pPr>
              <w:spacing w:after="0" w:line="240" w:lineRule="auto"/>
            </w:pPr>
            <w:r>
              <w:rPr>
                <w:rFonts w:ascii="Arial" w:hAnsi="Arial" w:eastAsia="Arial" w:cs="Arial"/>
                <w:b w:val="0"/>
                <w:sz w:val="20"/>
              </w:rPr>
              <w:t>LOW</w:t>
            </w:r>
          </w:p>
        </w:tc>
      </w:tr>
      <w:tr>
        <w:tc>
          <w:tcPr>
            <w:tcW w:type="dxa" w:w="1700"/>
            <w:vAlign w:val="top"/>
          </w:tcPr>
          <w:p>
            <w:pPr>
              <w:spacing w:after="0" w:line="240" w:lineRule="auto"/>
            </w:pPr>
            <w:r>
              <w:rPr>
                <w:rFonts w:ascii="Arial" w:hAnsi="Arial" w:eastAsia="Arial" w:cs="Arial"/>
                <w:b w:val="0"/>
                <w:sz w:val="20"/>
              </w:rPr>
              <w:t>TownCloud</w:t>
            </w:r>
          </w:p>
        </w:tc>
        <w:tc>
          <w:tcPr>
            <w:tcW w:type="dxa" w:w="600"/>
            <w:vAlign w:val="top"/>
          </w:tcPr>
          <w:p>
            <w:pPr>
              <w:spacing w:after="0" w:line="240" w:lineRule="auto"/>
            </w:pPr>
            <w:r>
              <w:rPr>
                <w:rFonts w:ascii="Arial" w:hAnsi="Arial" w:eastAsia="Arial" w:cs="Arial"/>
                <w:b w:val="0"/>
                <w:sz w:val="20"/>
              </w:rPr>
              <w:t>VA</w:t>
            </w:r>
          </w:p>
        </w:tc>
        <w:tc>
          <w:tcPr>
            <w:tcW w:type="dxa" w:w="1100"/>
            <w:vAlign w:val="top"/>
          </w:tcPr>
          <w:p>
            <w:pPr>
              <w:spacing w:after="0" w:line="240" w:lineRule="auto"/>
            </w:pPr>
            <w:r>
              <w:rPr>
                <w:rFonts w:ascii="Arial" w:hAnsi="Arial" w:eastAsia="Arial" w:cs="Arial"/>
                <w:b w:val="0"/>
                <w:sz w:val="20"/>
              </w:rPr>
              <w:t>200</w:t>
            </w:r>
          </w:p>
        </w:tc>
        <w:tc>
          <w:tcPr>
            <w:tcW w:type="dxa" w:w="1900"/>
            <w:vAlign w:val="top"/>
          </w:tcPr>
          <w:p>
            <w:pPr>
              <w:spacing w:after="0" w:line="240" w:lineRule="auto"/>
            </w:pPr>
            <w:r>
              <w:rPr>
                <w:rFonts w:ascii="Arial" w:hAnsi="Arial" w:eastAsia="Arial" w:cs="Arial"/>
                <w:b w:val="0"/>
                <w:sz w:val="20"/>
              </w:rPr>
              <w:t>Small (&lt;5K)</w:t>
            </w:r>
          </w:p>
        </w:tc>
        <w:tc>
          <w:tcPr>
            <w:tcW w:type="dxa" w:w="2700"/>
            <w:vAlign w:val="top"/>
          </w:tcPr>
          <w:p>
            <w:pPr>
              <w:spacing w:after="0" w:line="240" w:lineRule="auto"/>
            </w:pPr>
            <w:r>
              <w:rPr>
                <w:rFonts w:ascii="Arial" w:hAnsi="Arial" w:eastAsia="Arial" w:cs="Arial"/>
                <w:b w:val="0"/>
                <w:sz w:val="20"/>
              </w:rPr>
              <w:t>VA (50), NC (30)</w:t>
            </w:r>
          </w:p>
        </w:tc>
        <w:tc>
          <w:tcPr>
            <w:tcW w:type="dxa" w:w="900"/>
            <w:vAlign w:val="top"/>
          </w:tcPr>
          <w:p>
            <w:pPr>
              <w:spacing w:after="0" w:line="240" w:lineRule="auto"/>
            </w:pPr>
            <w:r>
              <w:rPr>
                <w:rFonts w:ascii="Arial" w:hAnsi="Arial" w:eastAsia="Arial" w:cs="Arial"/>
                <w:b w:val="0"/>
                <w:sz w:val="20"/>
              </w:rPr>
              <w:t>LOW</w:t>
            </w:r>
          </w:p>
        </w:tc>
      </w:tr>
    </w:tbl>
    <w:p>
      <w:pPr>
        <w:spacing w:after="0" w:line="240" w:lineRule="auto"/>
      </w:pPr>
      <w:r>
        <w:rPr>
          <w:rFonts w:ascii="Arial" w:hAnsi="Arial" w:eastAsia="Arial" w:cs="Arial"/>
          <w:b w:val="0"/>
          <w:i w:val="0"/>
          <w:sz w:val="22"/>
        </w:rPr>
      </w:r>
    </w:p>
    <w:p>
      <w:pPr>
        <w:spacing w:before="240" w:after="120" w:line="240" w:lineRule="auto"/>
      </w:pPr>
      <w:r>
        <w:rPr>
          <w:rFonts w:ascii="Arial" w:hAnsi="Arial" w:eastAsia="Arial" w:cs="Arial"/>
          <w:b/>
          <w:color w:val="0F172A"/>
          <w:sz w:val="26"/>
        </w:rPr>
        <w:t>Vendor Profiles</w:t>
      </w:r>
    </w:p>
    <w:p>
      <w:pPr>
        <w:spacing w:before="120" w:after="120" w:line="240" w:lineRule="auto"/>
      </w:pPr>
      <w:r>
        <w:rPr>
          <w:rFonts w:ascii="Arial" w:hAnsi="Arial" w:eastAsia="Arial" w:cs="Arial"/>
          <w:b/>
          <w:color w:val="0F172A"/>
          <w:sz w:val="22"/>
        </w:rPr>
        <w:t>Tyler Technologies</w:t>
      </w:r>
    </w:p>
    <w:p>
      <w:pPr>
        <w:spacing w:after="120" w:line="240" w:lineRule="auto"/>
      </w:pPr>
      <w:r>
        <w:rPr>
          <w:rFonts w:ascii="Arial" w:hAnsi="Arial" w:eastAsia="Arial" w:cs="Arial"/>
          <w:b w:val="0"/>
          <w:i/>
          <w:color w:val="475569"/>
          <w:sz w:val="22"/>
        </w:rPr>
        <w:t>HQ: Texas (TX) · Published customers: 13,000 · Size target: Mid-to-large (10K-100K+) · Threat level: HIGH</w:t>
      </w:r>
    </w:p>
    <w:p>
      <w:pPr>
        <w:spacing w:after="120" w:line="240" w:lineRule="auto"/>
      </w:pPr>
      <w:r>
        <w:rPr>
          <w:rFonts w:ascii="Arial" w:hAnsi="Arial" w:eastAsia="Arial" w:cs="Arial"/>
          <w:b w:val="0"/>
          <w:i w:val="0"/>
          <w:sz w:val="22"/>
        </w:rPr>
        <w:t>Product focus: Enterprise ERP, courts, public safety, K-12, payments</w:t>
      </w:r>
    </w:p>
    <w:p>
      <w:pPr>
        <w:spacing w:after="120" w:line="240" w:lineRule="auto"/>
      </w:pPr>
      <w:r>
        <w:rPr>
          <w:rFonts w:ascii="Arial" w:hAnsi="Arial" w:eastAsia="Arial" w:cs="Arial"/>
          <w:b w:val="0"/>
          <w:i w:val="0"/>
          <w:sz w:val="22"/>
        </w:rPr>
        <w:t>Top 5 states: TX (1100), CA (750), FL (540), IL (520), PA (480)</w:t>
      </w:r>
    </w:p>
    <w:p>
      <w:pPr>
        <w:spacing w:after="120" w:line="240" w:lineRule="auto"/>
      </w:pPr>
      <w:r>
        <w:rPr>
          <w:rFonts w:ascii="Arial" w:hAnsi="Arial" w:eastAsia="Arial" w:cs="Arial"/>
          <w:b w:val="0"/>
          <w:i w:val="0"/>
          <w:sz w:val="22"/>
        </w:rPr>
        <w:t>Notable M&amp;A: NIC (2021); MicroPact (2019); Socrata (2018); New World Systems (2015); MUNIS</w:t>
      </w:r>
    </w:p>
    <w:p>
      <w:pPr>
        <w:spacing w:after="120" w:line="240" w:lineRule="auto"/>
      </w:pPr>
      <w:r>
        <w:rPr>
          <w:rFonts w:ascii="Arial" w:hAnsi="Arial" w:eastAsia="Arial" w:cs="Arial"/>
          <w:b w:val="0"/>
          <w:i w:val="0"/>
          <w:sz w:val="22"/>
        </w:rPr>
        <w:t>Largest pure-play public-sector software vendor. NIC acquisition (2021, $2.3B) added payments + 30 state portal contracts. Strong in county courts, ERP (Munis), CAD/RMS (New World).</w:t>
      </w:r>
    </w:p>
    <w:p>
      <w:pPr>
        <w:spacing w:after="40" w:line="240" w:lineRule="auto"/>
      </w:pPr>
      <w:r>
        <w:rPr>
          <w:rFonts w:ascii="Arial" w:hAnsi="Arial" w:eastAsia="Arial" w:cs="Arial"/>
          <w:b/>
          <w:i w:val="0"/>
          <w:sz w:val="22"/>
        </w:rPr>
        <w:t>Strengths</w:t>
      </w:r>
    </w:p>
    <w:p>
      <w:pPr>
        <w:pStyle w:val="ListBullet"/>
        <w:spacing w:after="40" w:line="240" w:lineRule="auto"/>
      </w:pPr>
      <w:r/>
      <w:r>
        <w:rPr>
          <w:rFonts w:ascii="Arial" w:hAnsi="Arial" w:eastAsia="Arial" w:cs="Arial"/>
          <w:b w:val="0"/>
          <w:sz w:val="22"/>
        </w:rPr>
        <w:t>Broadest product portfolio across local-gov verticals</w:t>
      </w:r>
    </w:p>
    <w:p>
      <w:pPr>
        <w:pStyle w:val="ListBullet"/>
        <w:spacing w:after="40" w:line="240" w:lineRule="auto"/>
      </w:pPr>
      <w:r/>
      <w:r>
        <w:rPr>
          <w:rFonts w:ascii="Arial" w:hAnsi="Arial" w:eastAsia="Arial" w:cs="Arial"/>
          <w:b w:val="0"/>
          <w:sz w:val="22"/>
        </w:rPr>
        <w:t>Public-company scale, R&amp;D budget, and balance sheet</w:t>
      </w:r>
    </w:p>
    <w:p>
      <w:pPr>
        <w:pStyle w:val="ListBullet"/>
        <w:spacing w:after="40" w:line="240" w:lineRule="auto"/>
      </w:pPr>
      <w:r/>
      <w:r>
        <w:rPr>
          <w:rFonts w:ascii="Arial" w:hAnsi="Arial" w:eastAsia="Arial" w:cs="Arial"/>
          <w:b w:val="0"/>
          <w:sz w:val="22"/>
        </w:rPr>
        <w:t>Deep references in mid-large counties and state agencies</w:t>
      </w:r>
    </w:p>
    <w:p>
      <w:pPr>
        <w:spacing w:after="40" w:line="240" w:lineRule="auto"/>
      </w:pPr>
      <w:r>
        <w:rPr>
          <w:rFonts w:ascii="Arial" w:hAnsi="Arial" w:eastAsia="Arial" w:cs="Arial"/>
          <w:b/>
          <w:i w:val="0"/>
          <w:sz w:val="22"/>
        </w:rPr>
        <w:t>Weaknesses</w:t>
      </w:r>
    </w:p>
    <w:p>
      <w:pPr>
        <w:pStyle w:val="ListBullet"/>
        <w:spacing w:after="40" w:line="240" w:lineRule="auto"/>
      </w:pPr>
      <w:r/>
      <w:r>
        <w:rPr>
          <w:rFonts w:ascii="Arial" w:hAnsi="Arial" w:eastAsia="Arial" w:cs="Arial"/>
          <w:b w:val="0"/>
          <w:sz w:val="22"/>
        </w:rPr>
        <w:t>Premium pricing — often non-starter for towns under 5K</w:t>
      </w:r>
    </w:p>
    <w:p>
      <w:pPr>
        <w:pStyle w:val="ListBullet"/>
        <w:spacing w:after="40" w:line="240" w:lineRule="auto"/>
      </w:pPr>
      <w:r/>
      <w:r>
        <w:rPr>
          <w:rFonts w:ascii="Arial" w:hAnsi="Arial" w:eastAsia="Arial" w:cs="Arial"/>
          <w:b w:val="0"/>
          <w:sz w:val="22"/>
        </w:rPr>
        <w:t>Implementations multi-year; switching costs cut both ways</w:t>
      </w:r>
    </w:p>
    <w:p>
      <w:pPr>
        <w:pStyle w:val="ListBullet"/>
        <w:spacing w:after="40" w:line="240" w:lineRule="auto"/>
      </w:pPr>
      <w:r/>
      <w:r>
        <w:rPr>
          <w:rFonts w:ascii="Arial" w:hAnsi="Arial" w:eastAsia="Arial" w:cs="Arial"/>
          <w:b w:val="0"/>
          <w:sz w:val="22"/>
        </w:rPr>
        <w:t>Many products from acquisitions are loosely integrated</w:t>
      </w:r>
    </w:p>
    <w:p>
      <w:pPr>
        <w:spacing w:before="120" w:after="120" w:line="240" w:lineRule="auto"/>
      </w:pPr>
      <w:r>
        <w:rPr>
          <w:rFonts w:ascii="Arial" w:hAnsi="Arial" w:eastAsia="Arial" w:cs="Arial"/>
          <w:b/>
          <w:color w:val="0F172A"/>
          <w:sz w:val="22"/>
        </w:rPr>
        <w:t>BS&amp;A Software</w:t>
      </w:r>
    </w:p>
    <w:p>
      <w:pPr>
        <w:spacing w:after="120" w:line="240" w:lineRule="auto"/>
      </w:pPr>
      <w:r>
        <w:rPr>
          <w:rFonts w:ascii="Arial" w:hAnsi="Arial" w:eastAsia="Arial" w:cs="Arial"/>
          <w:b w:val="0"/>
          <w:i/>
          <w:color w:val="475569"/>
          <w:sz w:val="22"/>
        </w:rPr>
        <w:t>HQ: Michigan (MI) · Published customers: 2,500 · Size target: Small-to-mid (1K-50K) · Threat level: MEDIUM</w:t>
      </w:r>
    </w:p>
    <w:p>
      <w:pPr>
        <w:spacing w:after="120" w:line="240" w:lineRule="auto"/>
      </w:pPr>
      <w:r>
        <w:rPr>
          <w:rFonts w:ascii="Arial" w:hAnsi="Arial" w:eastAsia="Arial" w:cs="Arial"/>
          <w:b w:val="0"/>
          <w:i w:val="0"/>
          <w:sz w:val="22"/>
        </w:rPr>
        <w:t>Product focus: Financial mgmt, assessing, tax, building permits</w:t>
      </w:r>
    </w:p>
    <w:p>
      <w:pPr>
        <w:spacing w:after="120" w:line="240" w:lineRule="auto"/>
      </w:pPr>
      <w:r>
        <w:rPr>
          <w:rFonts w:ascii="Arial" w:hAnsi="Arial" w:eastAsia="Arial" w:cs="Arial"/>
          <w:b w:val="0"/>
          <w:i w:val="0"/>
          <w:sz w:val="22"/>
        </w:rPr>
        <w:t>Top 5 states: MI (1450), OH (220), IN (110), IL (75), WI (75)</w:t>
      </w:r>
    </w:p>
    <w:p>
      <w:pPr>
        <w:spacing w:after="120" w:line="240" w:lineRule="auto"/>
      </w:pPr>
      <w:r>
        <w:rPr>
          <w:rFonts w:ascii="Arial" w:hAnsi="Arial" w:eastAsia="Arial" w:cs="Arial"/>
          <w:b w:val="0"/>
          <w:i w:val="0"/>
          <w:sz w:val="22"/>
        </w:rPr>
        <w:t>Notable M&amp;A: Acquired by Harris Computer / Constellation (2021)</w:t>
      </w:r>
    </w:p>
    <w:p>
      <w:pPr>
        <w:spacing w:after="120" w:line="240" w:lineRule="auto"/>
      </w:pPr>
      <w:r>
        <w:rPr>
          <w:rFonts w:ascii="Arial" w:hAnsi="Arial" w:eastAsia="Arial" w:cs="Arial"/>
          <w:b w:val="0"/>
          <w:i w:val="0"/>
          <w:sz w:val="22"/>
        </w:rPr>
        <w:t>Michigan dominant — estimated ~70-80% of MI municipalities run BS&amp;A. Acquired by Harris Computer (Constellation Software) in 2021. Expanding into OH, IN, IL via Harris's distribution.</w:t>
      </w:r>
    </w:p>
    <w:p>
      <w:pPr>
        <w:spacing w:after="40" w:line="240" w:lineRule="auto"/>
      </w:pPr>
      <w:r>
        <w:rPr>
          <w:rFonts w:ascii="Arial" w:hAnsi="Arial" w:eastAsia="Arial" w:cs="Arial"/>
          <w:b/>
          <w:i w:val="0"/>
          <w:sz w:val="22"/>
        </w:rPr>
        <w:t>Strengths</w:t>
      </w:r>
    </w:p>
    <w:p>
      <w:pPr>
        <w:pStyle w:val="ListBullet"/>
        <w:spacing w:after="40" w:line="240" w:lineRule="auto"/>
      </w:pPr>
      <w:r/>
      <w:r>
        <w:rPr>
          <w:rFonts w:ascii="Arial" w:hAnsi="Arial" w:eastAsia="Arial" w:cs="Arial"/>
          <w:b w:val="0"/>
          <w:sz w:val="22"/>
        </w:rPr>
        <w:t>Near-monopoly in Michigan small/mid muni segment</w:t>
      </w:r>
    </w:p>
    <w:p>
      <w:pPr>
        <w:pStyle w:val="ListBullet"/>
        <w:spacing w:after="40" w:line="240" w:lineRule="auto"/>
      </w:pPr>
      <w:r/>
      <w:r>
        <w:rPr>
          <w:rFonts w:ascii="Arial" w:hAnsi="Arial" w:eastAsia="Arial" w:cs="Arial"/>
          <w:b w:val="0"/>
          <w:sz w:val="22"/>
        </w:rPr>
        <w:t>Constellation parent provides capital + roll-up engine</w:t>
      </w:r>
    </w:p>
    <w:p>
      <w:pPr>
        <w:pStyle w:val="ListBullet"/>
        <w:spacing w:after="40" w:line="240" w:lineRule="auto"/>
      </w:pPr>
      <w:r/>
      <w:r>
        <w:rPr>
          <w:rFonts w:ascii="Arial" w:hAnsi="Arial" w:eastAsia="Arial" w:cs="Arial"/>
          <w:b w:val="0"/>
          <w:sz w:val="22"/>
        </w:rPr>
        <w:t>Tight integration across financials, assessing, and tax</w:t>
      </w:r>
    </w:p>
    <w:p>
      <w:pPr>
        <w:spacing w:after="40" w:line="240" w:lineRule="auto"/>
      </w:pPr>
      <w:r>
        <w:rPr>
          <w:rFonts w:ascii="Arial" w:hAnsi="Arial" w:eastAsia="Arial" w:cs="Arial"/>
          <w:b/>
          <w:i w:val="0"/>
          <w:sz w:val="22"/>
        </w:rPr>
        <w:t>Weaknesses</w:t>
      </w:r>
    </w:p>
    <w:p>
      <w:pPr>
        <w:pStyle w:val="ListBullet"/>
        <w:spacing w:after="40" w:line="240" w:lineRule="auto"/>
      </w:pPr>
      <w:r/>
      <w:r>
        <w:rPr>
          <w:rFonts w:ascii="Arial" w:hAnsi="Arial" w:eastAsia="Arial" w:cs="Arial"/>
          <w:b w:val="0"/>
          <w:sz w:val="22"/>
        </w:rPr>
        <w:t>Geographic concentration creates expansion risk</w:t>
      </w:r>
    </w:p>
    <w:p>
      <w:pPr>
        <w:pStyle w:val="ListBullet"/>
        <w:spacing w:after="40" w:line="240" w:lineRule="auto"/>
      </w:pPr>
      <w:r/>
      <w:r>
        <w:rPr>
          <w:rFonts w:ascii="Arial" w:hAnsi="Arial" w:eastAsia="Arial" w:cs="Arial"/>
          <w:b w:val="0"/>
          <w:sz w:val="22"/>
        </w:rPr>
        <w:t>Legacy on-prem footprint slowing cloud migration</w:t>
      </w:r>
    </w:p>
    <w:p>
      <w:pPr>
        <w:pStyle w:val="ListBullet"/>
        <w:spacing w:after="40" w:line="240" w:lineRule="auto"/>
      </w:pPr>
      <w:r/>
      <w:r>
        <w:rPr>
          <w:rFonts w:ascii="Arial" w:hAnsi="Arial" w:eastAsia="Arial" w:cs="Arial"/>
          <w:b w:val="0"/>
          <w:sz w:val="22"/>
        </w:rPr>
        <w:t>Limited brand outside upper-Midwest</w:t>
      </w:r>
    </w:p>
    <w:p>
      <w:pPr>
        <w:spacing w:before="120" w:after="120" w:line="240" w:lineRule="auto"/>
      </w:pPr>
      <w:r>
        <w:rPr>
          <w:rFonts w:ascii="Arial" w:hAnsi="Arial" w:eastAsia="Arial" w:cs="Arial"/>
          <w:b/>
          <w:color w:val="0F172A"/>
          <w:sz w:val="22"/>
        </w:rPr>
        <w:t>Caselle</w:t>
      </w:r>
    </w:p>
    <w:p>
      <w:pPr>
        <w:spacing w:after="120" w:line="240" w:lineRule="auto"/>
      </w:pPr>
      <w:r>
        <w:rPr>
          <w:rFonts w:ascii="Arial" w:hAnsi="Arial" w:eastAsia="Arial" w:cs="Arial"/>
          <w:b w:val="0"/>
          <w:i/>
          <w:color w:val="475569"/>
          <w:sz w:val="22"/>
        </w:rPr>
        <w:t>HQ: Utah (UT) · Published customers: 1,000 · Size target: Small (&lt;10K) · Threat level: MEDIUM</w:t>
      </w:r>
    </w:p>
    <w:p>
      <w:pPr>
        <w:spacing w:after="120" w:line="240" w:lineRule="auto"/>
      </w:pPr>
      <w:r>
        <w:rPr>
          <w:rFonts w:ascii="Arial" w:hAnsi="Arial" w:eastAsia="Arial" w:cs="Arial"/>
          <w:b w:val="0"/>
          <w:i w:val="0"/>
          <w:sz w:val="22"/>
        </w:rPr>
        <w:t>Product focus: Accounting, payroll, utility billing for small cities</w:t>
      </w:r>
    </w:p>
    <w:p>
      <w:pPr>
        <w:spacing w:after="120" w:line="240" w:lineRule="auto"/>
      </w:pPr>
      <w:r>
        <w:rPr>
          <w:rFonts w:ascii="Arial" w:hAnsi="Arial" w:eastAsia="Arial" w:cs="Arial"/>
          <w:b w:val="0"/>
          <w:i w:val="0"/>
          <w:sz w:val="22"/>
        </w:rPr>
        <w:t>Top 5 states: UT (280), ID (110), WY (90), MT (70), CO (60)</w:t>
      </w:r>
    </w:p>
    <w:p>
      <w:pPr>
        <w:spacing w:after="120" w:line="240" w:lineRule="auto"/>
      </w:pPr>
      <w:r>
        <w:rPr>
          <w:rFonts w:ascii="Arial" w:hAnsi="Arial" w:eastAsia="Arial" w:cs="Arial"/>
          <w:b w:val="0"/>
          <w:i w:val="0"/>
          <w:sz w:val="22"/>
        </w:rPr>
        <w:t>Mountain-West small-town stronghold. Long-tenured installed base in UT/ID/WY/MT/NV. Slower modernization than some peers; core suite still stable cash cow.</w:t>
      </w:r>
    </w:p>
    <w:p>
      <w:pPr>
        <w:spacing w:after="40" w:line="240" w:lineRule="auto"/>
      </w:pPr>
      <w:r>
        <w:rPr>
          <w:rFonts w:ascii="Arial" w:hAnsi="Arial" w:eastAsia="Arial" w:cs="Arial"/>
          <w:b/>
          <w:i w:val="0"/>
          <w:sz w:val="22"/>
        </w:rPr>
        <w:t>Strengths</w:t>
      </w:r>
    </w:p>
    <w:p>
      <w:pPr>
        <w:pStyle w:val="ListBullet"/>
        <w:spacing w:after="40" w:line="240" w:lineRule="auto"/>
      </w:pPr>
      <w:r/>
      <w:r>
        <w:rPr>
          <w:rFonts w:ascii="Arial" w:hAnsi="Arial" w:eastAsia="Arial" w:cs="Arial"/>
          <w:b w:val="0"/>
          <w:sz w:val="22"/>
        </w:rPr>
        <w:t>Sticky installed base — average tenure 10+ years</w:t>
      </w:r>
    </w:p>
    <w:p>
      <w:pPr>
        <w:pStyle w:val="ListBullet"/>
        <w:spacing w:after="40" w:line="240" w:lineRule="auto"/>
      </w:pPr>
      <w:r/>
      <w:r>
        <w:rPr>
          <w:rFonts w:ascii="Arial" w:hAnsi="Arial" w:eastAsia="Arial" w:cs="Arial"/>
          <w:b w:val="0"/>
          <w:sz w:val="22"/>
        </w:rPr>
        <w:t>Low-cost suite tuned to &lt;10K-pop municipalities</w:t>
      </w:r>
    </w:p>
    <w:p>
      <w:pPr>
        <w:pStyle w:val="ListBullet"/>
        <w:spacing w:after="40" w:line="240" w:lineRule="auto"/>
      </w:pPr>
      <w:r/>
      <w:r>
        <w:rPr>
          <w:rFonts w:ascii="Arial" w:hAnsi="Arial" w:eastAsia="Arial" w:cs="Arial"/>
          <w:b w:val="0"/>
          <w:sz w:val="22"/>
        </w:rPr>
        <w:t>Strong reference accounts across Mountain West</w:t>
      </w:r>
    </w:p>
    <w:p>
      <w:pPr>
        <w:spacing w:after="40" w:line="240" w:lineRule="auto"/>
      </w:pPr>
      <w:r>
        <w:rPr>
          <w:rFonts w:ascii="Arial" w:hAnsi="Arial" w:eastAsia="Arial" w:cs="Arial"/>
          <w:b/>
          <w:i w:val="0"/>
          <w:sz w:val="22"/>
        </w:rPr>
        <w:t>Weaknesses</w:t>
      </w:r>
    </w:p>
    <w:p>
      <w:pPr>
        <w:pStyle w:val="ListBullet"/>
        <w:spacing w:after="40" w:line="240" w:lineRule="auto"/>
      </w:pPr>
      <w:r/>
      <w:r>
        <w:rPr>
          <w:rFonts w:ascii="Arial" w:hAnsi="Arial" w:eastAsia="Arial" w:cs="Arial"/>
          <w:b w:val="0"/>
          <w:sz w:val="22"/>
        </w:rPr>
        <w:t>On-prem heavy; cloud roadmap behind cloud-native peers</w:t>
      </w:r>
    </w:p>
    <w:p>
      <w:pPr>
        <w:pStyle w:val="ListBullet"/>
        <w:spacing w:after="40" w:line="240" w:lineRule="auto"/>
      </w:pPr>
      <w:r/>
      <w:r>
        <w:rPr>
          <w:rFonts w:ascii="Arial" w:hAnsi="Arial" w:eastAsia="Arial" w:cs="Arial"/>
          <w:b w:val="0"/>
          <w:sz w:val="22"/>
        </w:rPr>
        <w:t>Limited verticals (no permits, GIS, public-safety)</w:t>
      </w:r>
    </w:p>
    <w:p>
      <w:pPr>
        <w:pStyle w:val="ListBullet"/>
        <w:spacing w:after="40" w:line="240" w:lineRule="auto"/>
      </w:pPr>
      <w:r/>
      <w:r>
        <w:rPr>
          <w:rFonts w:ascii="Arial" w:hAnsi="Arial" w:eastAsia="Arial" w:cs="Arial"/>
          <w:b w:val="0"/>
          <w:sz w:val="22"/>
        </w:rPr>
        <w:t>Concentrated in 6-8 states — exposed to gWorks, TownCloud</w:t>
      </w:r>
    </w:p>
    <w:p>
      <w:pPr>
        <w:spacing w:before="120" w:after="120" w:line="240" w:lineRule="auto"/>
      </w:pPr>
      <w:r>
        <w:rPr>
          <w:rFonts w:ascii="Arial" w:hAnsi="Arial" w:eastAsia="Arial" w:cs="Arial"/>
          <w:b/>
          <w:color w:val="0F172A"/>
          <w:sz w:val="22"/>
        </w:rPr>
        <w:t>gWorks</w:t>
      </w:r>
    </w:p>
    <w:p>
      <w:pPr>
        <w:spacing w:after="120" w:line="240" w:lineRule="auto"/>
      </w:pPr>
      <w:r>
        <w:rPr>
          <w:rFonts w:ascii="Arial" w:hAnsi="Arial" w:eastAsia="Arial" w:cs="Arial"/>
          <w:b w:val="0"/>
          <w:i/>
          <w:color w:val="475569"/>
          <w:sz w:val="22"/>
        </w:rPr>
        <w:t>HQ: Nebraska (NE) · Published customers: 2,500 · Size target: Very small (&lt;5K) · Threat level: MEDIUM</w:t>
      </w:r>
    </w:p>
    <w:p>
      <w:pPr>
        <w:spacing w:after="120" w:line="240" w:lineRule="auto"/>
      </w:pPr>
      <w:r>
        <w:rPr>
          <w:rFonts w:ascii="Arial" w:hAnsi="Arial" w:eastAsia="Arial" w:cs="Arial"/>
          <w:b w:val="0"/>
          <w:i w:val="0"/>
          <w:sz w:val="22"/>
        </w:rPr>
        <w:t>Product focus: All-in-one ERP, GIS, websites for very small towns</w:t>
      </w:r>
    </w:p>
    <w:p>
      <w:pPr>
        <w:spacing w:after="120" w:line="240" w:lineRule="auto"/>
      </w:pPr>
      <w:r>
        <w:rPr>
          <w:rFonts w:ascii="Arial" w:hAnsi="Arial" w:eastAsia="Arial" w:cs="Arial"/>
          <w:b w:val="0"/>
          <w:i w:val="0"/>
          <w:sz w:val="22"/>
        </w:rPr>
        <w:t>Top 5 states: NE (480), IA (280), KS (220), SD (220), MN (200)</w:t>
      </w:r>
    </w:p>
    <w:p>
      <w:pPr>
        <w:spacing w:after="120" w:line="240" w:lineRule="auto"/>
      </w:pPr>
      <w:r>
        <w:rPr>
          <w:rFonts w:ascii="Arial" w:hAnsi="Arial" w:eastAsia="Arial" w:cs="Arial"/>
          <w:b w:val="0"/>
          <w:i w:val="0"/>
          <w:sz w:val="22"/>
        </w:rPr>
        <w:t>Notable M&amp;A: Banyon Data Systems; Pontem; Compu-Strategies</w:t>
      </w:r>
    </w:p>
    <w:p>
      <w:pPr>
        <w:spacing w:after="120" w:line="240" w:lineRule="auto"/>
      </w:pPr>
      <w:r>
        <w:rPr>
          <w:rFonts w:ascii="Arial" w:hAnsi="Arial" w:eastAsia="Arial" w:cs="Arial"/>
          <w:b w:val="0"/>
          <w:i w:val="0"/>
          <w:sz w:val="22"/>
        </w:rPr>
        <w:t>Roll-up of small public-sector vendors. Acquired Banyon Data Systems (MN), Pontem, and others. Plains-states stronghold; expanding eastward via channel.</w:t>
      </w:r>
    </w:p>
    <w:p>
      <w:pPr>
        <w:spacing w:after="40" w:line="240" w:lineRule="auto"/>
      </w:pPr>
      <w:r>
        <w:rPr>
          <w:rFonts w:ascii="Arial" w:hAnsi="Arial" w:eastAsia="Arial" w:cs="Arial"/>
          <w:b/>
          <w:i w:val="0"/>
          <w:sz w:val="22"/>
        </w:rPr>
        <w:t>Strengths</w:t>
      </w:r>
    </w:p>
    <w:p>
      <w:pPr>
        <w:pStyle w:val="ListBullet"/>
        <w:spacing w:after="40" w:line="240" w:lineRule="auto"/>
      </w:pPr>
      <w:r/>
      <w:r>
        <w:rPr>
          <w:rFonts w:ascii="Arial" w:hAnsi="Arial" w:eastAsia="Arial" w:cs="Arial"/>
          <w:b w:val="0"/>
          <w:sz w:val="22"/>
        </w:rPr>
        <w:t>Bundled GIS + ERP + website is rare at sub-5K-pop price point</w:t>
      </w:r>
    </w:p>
    <w:p>
      <w:pPr>
        <w:pStyle w:val="ListBullet"/>
        <w:spacing w:after="40" w:line="240" w:lineRule="auto"/>
      </w:pPr>
      <w:r/>
      <w:r>
        <w:rPr>
          <w:rFonts w:ascii="Arial" w:hAnsi="Arial" w:eastAsia="Arial" w:cs="Arial"/>
          <w:b w:val="0"/>
          <w:sz w:val="22"/>
        </w:rPr>
        <w:t>Targeted roll-up strategy growing customer base 15-20% YoY</w:t>
      </w:r>
    </w:p>
    <w:p>
      <w:pPr>
        <w:pStyle w:val="ListBullet"/>
        <w:spacing w:after="40" w:line="240" w:lineRule="auto"/>
      </w:pPr>
      <w:r/>
      <w:r>
        <w:rPr>
          <w:rFonts w:ascii="Arial" w:hAnsi="Arial" w:eastAsia="Arial" w:cs="Arial"/>
          <w:b w:val="0"/>
          <w:sz w:val="22"/>
        </w:rPr>
        <w:t>Strong in NE/IA/KS/SD/ND clerk-of-the-courthouse market</w:t>
      </w:r>
    </w:p>
    <w:p>
      <w:pPr>
        <w:spacing w:after="40" w:line="240" w:lineRule="auto"/>
      </w:pPr>
      <w:r>
        <w:rPr>
          <w:rFonts w:ascii="Arial" w:hAnsi="Arial" w:eastAsia="Arial" w:cs="Arial"/>
          <w:b/>
          <w:i w:val="0"/>
          <w:sz w:val="22"/>
        </w:rPr>
        <w:t>Weaknesses</w:t>
      </w:r>
    </w:p>
    <w:p>
      <w:pPr>
        <w:pStyle w:val="ListBullet"/>
        <w:spacing w:after="40" w:line="240" w:lineRule="auto"/>
      </w:pPr>
      <w:r/>
      <w:r>
        <w:rPr>
          <w:rFonts w:ascii="Arial" w:hAnsi="Arial" w:eastAsia="Arial" w:cs="Arial"/>
          <w:b w:val="0"/>
          <w:sz w:val="22"/>
        </w:rPr>
        <w:t>Customer count inflated by very-small-town tail (low ACV)</w:t>
      </w:r>
    </w:p>
    <w:p>
      <w:pPr>
        <w:pStyle w:val="ListBullet"/>
        <w:spacing w:after="40" w:line="240" w:lineRule="auto"/>
      </w:pPr>
      <w:r/>
      <w:r>
        <w:rPr>
          <w:rFonts w:ascii="Arial" w:hAnsi="Arial" w:eastAsia="Arial" w:cs="Arial"/>
          <w:b w:val="0"/>
          <w:sz w:val="22"/>
        </w:rPr>
        <w:t>Integration debt across acquired products</w:t>
      </w:r>
    </w:p>
    <w:p>
      <w:pPr>
        <w:pStyle w:val="ListBullet"/>
        <w:spacing w:after="40" w:line="240" w:lineRule="auto"/>
      </w:pPr>
      <w:r/>
      <w:r>
        <w:rPr>
          <w:rFonts w:ascii="Arial" w:hAnsi="Arial" w:eastAsia="Arial" w:cs="Arial"/>
          <w:b w:val="0"/>
          <w:sz w:val="22"/>
        </w:rPr>
        <w:t>Sales motion still mostly direct — limited marketing reach</w:t>
      </w:r>
    </w:p>
    <w:p>
      <w:pPr>
        <w:spacing w:before="120" w:after="120" w:line="240" w:lineRule="auto"/>
      </w:pPr>
      <w:r>
        <w:rPr>
          <w:rFonts w:ascii="Arial" w:hAnsi="Arial" w:eastAsia="Arial" w:cs="Arial"/>
          <w:b/>
          <w:color w:val="0F172A"/>
          <w:sz w:val="22"/>
        </w:rPr>
        <w:t>Muni-Link</w:t>
      </w:r>
    </w:p>
    <w:p>
      <w:pPr>
        <w:spacing w:after="120" w:line="240" w:lineRule="auto"/>
      </w:pPr>
      <w:r>
        <w:rPr>
          <w:rFonts w:ascii="Arial" w:hAnsi="Arial" w:eastAsia="Arial" w:cs="Arial"/>
          <w:b w:val="0"/>
          <w:i/>
          <w:color w:val="475569"/>
          <w:sz w:val="22"/>
        </w:rPr>
        <w:t>HQ: Pennsylvania (PA) · Published customers: 750 · Size target: Small-to-mid utilities (1K-50K) · Threat level: LOW</w:t>
      </w:r>
    </w:p>
    <w:p>
      <w:pPr>
        <w:spacing w:after="120" w:line="240" w:lineRule="auto"/>
      </w:pPr>
      <w:r>
        <w:rPr>
          <w:rFonts w:ascii="Arial" w:hAnsi="Arial" w:eastAsia="Arial" w:cs="Arial"/>
          <w:b w:val="0"/>
          <w:i w:val="0"/>
          <w:sz w:val="22"/>
        </w:rPr>
        <w:t>Product focus: Cloud utility billing (water, sewer, stormwater)</w:t>
      </w:r>
    </w:p>
    <w:p>
      <w:pPr>
        <w:spacing w:after="120" w:line="240" w:lineRule="auto"/>
      </w:pPr>
      <w:r>
        <w:rPr>
          <w:rFonts w:ascii="Arial" w:hAnsi="Arial" w:eastAsia="Arial" w:cs="Arial"/>
          <w:b w:val="0"/>
          <w:i w:val="0"/>
          <w:sz w:val="22"/>
        </w:rPr>
        <w:t>Top 5 states: PA (220), OH (100), VA (60), WV (60), NY (50)</w:t>
      </w:r>
    </w:p>
    <w:p>
      <w:pPr>
        <w:spacing w:after="120" w:line="240" w:lineRule="auto"/>
      </w:pPr>
      <w:r>
        <w:rPr>
          <w:rFonts w:ascii="Arial" w:hAnsi="Arial" w:eastAsia="Arial" w:cs="Arial"/>
          <w:b w:val="0"/>
          <w:i w:val="0"/>
          <w:sz w:val="22"/>
        </w:rPr>
        <w:t>Single-vertical SaaS focused on municipal utility billing. Concentrated in PA/OH/WV with growing presence in NY/MD/VA. Often layered alongside a separate ERP.</w:t>
      </w:r>
    </w:p>
    <w:p>
      <w:pPr>
        <w:spacing w:after="40" w:line="240" w:lineRule="auto"/>
      </w:pPr>
      <w:r>
        <w:rPr>
          <w:rFonts w:ascii="Arial" w:hAnsi="Arial" w:eastAsia="Arial" w:cs="Arial"/>
          <w:b/>
          <w:i w:val="0"/>
          <w:sz w:val="22"/>
        </w:rPr>
        <w:t>Strengths</w:t>
      </w:r>
    </w:p>
    <w:p>
      <w:pPr>
        <w:pStyle w:val="ListBullet"/>
        <w:spacing w:after="40" w:line="240" w:lineRule="auto"/>
      </w:pPr>
      <w:r/>
      <w:r>
        <w:rPr>
          <w:rFonts w:ascii="Arial" w:hAnsi="Arial" w:eastAsia="Arial" w:cs="Arial"/>
          <w:b w:val="0"/>
          <w:sz w:val="22"/>
        </w:rPr>
        <w:t>Modern cloud architecture; quick deploy under 90 days</w:t>
      </w:r>
    </w:p>
    <w:p>
      <w:pPr>
        <w:pStyle w:val="ListBullet"/>
        <w:spacing w:after="40" w:line="240" w:lineRule="auto"/>
      </w:pPr>
      <w:r/>
      <w:r>
        <w:rPr>
          <w:rFonts w:ascii="Arial" w:hAnsi="Arial" w:eastAsia="Arial" w:cs="Arial"/>
          <w:b w:val="0"/>
          <w:sz w:val="22"/>
        </w:rPr>
        <w:t>Pure-play focus = strong utility billing depth</w:t>
      </w:r>
    </w:p>
    <w:p>
      <w:pPr>
        <w:pStyle w:val="ListBullet"/>
        <w:spacing w:after="40" w:line="240" w:lineRule="auto"/>
      </w:pPr>
      <w:r/>
      <w:r>
        <w:rPr>
          <w:rFonts w:ascii="Arial" w:hAnsi="Arial" w:eastAsia="Arial" w:cs="Arial"/>
          <w:b w:val="0"/>
          <w:sz w:val="22"/>
        </w:rPr>
        <w:t>Easy integration alongside Tyler/BS&amp;A as utility module</w:t>
      </w:r>
    </w:p>
    <w:p>
      <w:pPr>
        <w:spacing w:after="40" w:line="240" w:lineRule="auto"/>
      </w:pPr>
      <w:r>
        <w:rPr>
          <w:rFonts w:ascii="Arial" w:hAnsi="Arial" w:eastAsia="Arial" w:cs="Arial"/>
          <w:b/>
          <w:i w:val="0"/>
          <w:sz w:val="22"/>
        </w:rPr>
        <w:t>Weaknesses</w:t>
      </w:r>
    </w:p>
    <w:p>
      <w:pPr>
        <w:pStyle w:val="ListBullet"/>
        <w:spacing w:after="40" w:line="240" w:lineRule="auto"/>
      </w:pPr>
      <w:r/>
      <w:r>
        <w:rPr>
          <w:rFonts w:ascii="Arial" w:hAnsi="Arial" w:eastAsia="Arial" w:cs="Arial"/>
          <w:b w:val="0"/>
          <w:sz w:val="22"/>
        </w:rPr>
        <w:t>Single product line — no obvious upsell vector</w:t>
      </w:r>
    </w:p>
    <w:p>
      <w:pPr>
        <w:pStyle w:val="ListBullet"/>
        <w:spacing w:after="40" w:line="240" w:lineRule="auto"/>
      </w:pPr>
      <w:r/>
      <w:r>
        <w:rPr>
          <w:rFonts w:ascii="Arial" w:hAnsi="Arial" w:eastAsia="Arial" w:cs="Arial"/>
          <w:b w:val="0"/>
          <w:sz w:val="22"/>
        </w:rPr>
        <w:t>Regional brand; weak national awareness</w:t>
      </w:r>
    </w:p>
    <w:p>
      <w:pPr>
        <w:pStyle w:val="ListBullet"/>
        <w:spacing w:after="40" w:line="240" w:lineRule="auto"/>
      </w:pPr>
      <w:r/>
      <w:r>
        <w:rPr>
          <w:rFonts w:ascii="Arial" w:hAnsi="Arial" w:eastAsia="Arial" w:cs="Arial"/>
          <w:b w:val="0"/>
          <w:sz w:val="22"/>
        </w:rPr>
        <w:t>Vulnerable to utility module bundled by full-suite ERPs</w:t>
      </w:r>
    </w:p>
    <w:p>
      <w:pPr>
        <w:spacing w:before="120" w:after="120" w:line="240" w:lineRule="auto"/>
      </w:pPr>
      <w:r>
        <w:rPr>
          <w:rFonts w:ascii="Arial" w:hAnsi="Arial" w:eastAsia="Arial" w:cs="Arial"/>
          <w:b/>
          <w:color w:val="0F172A"/>
          <w:sz w:val="22"/>
        </w:rPr>
        <w:t>TownCloud</w:t>
      </w:r>
    </w:p>
    <w:p>
      <w:pPr>
        <w:spacing w:after="120" w:line="240" w:lineRule="auto"/>
      </w:pPr>
      <w:r>
        <w:rPr>
          <w:rFonts w:ascii="Arial" w:hAnsi="Arial" w:eastAsia="Arial" w:cs="Arial"/>
          <w:b w:val="0"/>
          <w:i/>
          <w:color w:val="475569"/>
          <w:sz w:val="22"/>
        </w:rPr>
        <w:t>HQ: Virginia (VA) · Published customers: 200 · Size target: Small (&lt;5K) · Threat level: LOW</w:t>
      </w:r>
    </w:p>
    <w:p>
      <w:pPr>
        <w:spacing w:after="120" w:line="240" w:lineRule="auto"/>
      </w:pPr>
      <w:r>
        <w:rPr>
          <w:rFonts w:ascii="Arial" w:hAnsi="Arial" w:eastAsia="Arial" w:cs="Arial"/>
          <w:b w:val="0"/>
          <w:i w:val="0"/>
          <w:sz w:val="22"/>
        </w:rPr>
        <w:t>Product focus: Cloud-native ERP for small Southeast towns</w:t>
      </w:r>
    </w:p>
    <w:p>
      <w:pPr>
        <w:spacing w:after="120" w:line="240" w:lineRule="auto"/>
      </w:pPr>
      <w:r>
        <w:rPr>
          <w:rFonts w:ascii="Arial" w:hAnsi="Arial" w:eastAsia="Arial" w:cs="Arial"/>
          <w:b w:val="0"/>
          <w:i w:val="0"/>
          <w:sz w:val="22"/>
        </w:rPr>
        <w:t>Top 5 states: VA (50), NC (30), TN (22), SC (18), GA (14)</w:t>
      </w:r>
    </w:p>
    <w:p>
      <w:pPr>
        <w:spacing w:after="120" w:line="240" w:lineRule="auto"/>
      </w:pPr>
      <w:r>
        <w:rPr>
          <w:rFonts w:ascii="Arial" w:hAnsi="Arial" w:eastAsia="Arial" w:cs="Arial"/>
          <w:b w:val="0"/>
          <w:i w:val="0"/>
          <w:sz w:val="22"/>
        </w:rPr>
        <w:t>Newer entrant. Cloud-native from day one. Concentrated in VA/NC/SC/TN. Smaller footprint but fastest growth rate among the tracked set.</w:t>
      </w:r>
    </w:p>
    <w:p>
      <w:pPr>
        <w:spacing w:after="40" w:line="240" w:lineRule="auto"/>
      </w:pPr>
      <w:r>
        <w:rPr>
          <w:rFonts w:ascii="Arial" w:hAnsi="Arial" w:eastAsia="Arial" w:cs="Arial"/>
          <w:b/>
          <w:i w:val="0"/>
          <w:sz w:val="22"/>
        </w:rPr>
        <w:t>Strengths</w:t>
      </w:r>
    </w:p>
    <w:p>
      <w:pPr>
        <w:pStyle w:val="ListBullet"/>
        <w:spacing w:after="40" w:line="240" w:lineRule="auto"/>
      </w:pPr>
      <w:r/>
      <w:r>
        <w:rPr>
          <w:rFonts w:ascii="Arial" w:hAnsi="Arial" w:eastAsia="Arial" w:cs="Arial"/>
          <w:b w:val="0"/>
          <w:sz w:val="22"/>
        </w:rPr>
        <w:t>Cleanest UX of any tracked vendor — modern tech stack</w:t>
      </w:r>
    </w:p>
    <w:p>
      <w:pPr>
        <w:pStyle w:val="ListBullet"/>
        <w:spacing w:after="40" w:line="240" w:lineRule="auto"/>
      </w:pPr>
      <w:r/>
      <w:r>
        <w:rPr>
          <w:rFonts w:ascii="Arial" w:hAnsi="Arial" w:eastAsia="Arial" w:cs="Arial"/>
          <w:b w:val="0"/>
          <w:sz w:val="22"/>
        </w:rPr>
        <w:t>Per-resident SaaS pricing; predictable for small-town budgets</w:t>
      </w:r>
    </w:p>
    <w:p>
      <w:pPr>
        <w:pStyle w:val="ListBullet"/>
        <w:spacing w:after="40" w:line="240" w:lineRule="auto"/>
      </w:pPr>
      <w:r/>
      <w:r>
        <w:rPr>
          <w:rFonts w:ascii="Arial" w:hAnsi="Arial" w:eastAsia="Arial" w:cs="Arial"/>
          <w:b w:val="0"/>
          <w:sz w:val="22"/>
        </w:rPr>
        <w:t>Fastest implementations — typical 30-60 day go-live</w:t>
      </w:r>
    </w:p>
    <w:p>
      <w:pPr>
        <w:spacing w:after="40" w:line="240" w:lineRule="auto"/>
      </w:pPr>
      <w:r>
        <w:rPr>
          <w:rFonts w:ascii="Arial" w:hAnsi="Arial" w:eastAsia="Arial" w:cs="Arial"/>
          <w:b/>
          <w:i w:val="0"/>
          <w:sz w:val="22"/>
        </w:rPr>
        <w:t>Weaknesses</w:t>
      </w:r>
    </w:p>
    <w:p>
      <w:pPr>
        <w:pStyle w:val="ListBullet"/>
        <w:spacing w:after="40" w:line="240" w:lineRule="auto"/>
      </w:pPr>
      <w:r/>
      <w:r>
        <w:rPr>
          <w:rFonts w:ascii="Arial" w:hAnsi="Arial" w:eastAsia="Arial" w:cs="Arial"/>
          <w:b w:val="0"/>
          <w:sz w:val="22"/>
        </w:rPr>
        <w:t>Smallest installed base of tracked competitors</w:t>
      </w:r>
    </w:p>
    <w:p>
      <w:pPr>
        <w:pStyle w:val="ListBullet"/>
        <w:spacing w:after="40" w:line="240" w:lineRule="auto"/>
      </w:pPr>
      <w:r/>
      <w:r>
        <w:rPr>
          <w:rFonts w:ascii="Arial" w:hAnsi="Arial" w:eastAsia="Arial" w:cs="Arial"/>
          <w:b w:val="0"/>
          <w:sz w:val="22"/>
        </w:rPr>
        <w:t>Limited functional depth in assessing/tax</w:t>
      </w:r>
    </w:p>
    <w:p>
      <w:pPr>
        <w:pStyle w:val="ListBullet"/>
        <w:spacing w:after="40" w:line="240" w:lineRule="auto"/>
      </w:pPr>
      <w:r/>
      <w:r>
        <w:rPr>
          <w:rFonts w:ascii="Arial" w:hAnsi="Arial" w:eastAsia="Arial" w:cs="Arial"/>
          <w:b w:val="0"/>
          <w:sz w:val="22"/>
        </w:rPr>
        <w:t>Has not yet won a 50K+ pop city — uncertain mid-market fit</w:t>
      </w:r>
    </w:p>
    <w:p>
      <w:pPr>
        <w:spacing w:before="240" w:after="120" w:line="240" w:lineRule="auto"/>
      </w:pPr>
      <w:r>
        <w:rPr>
          <w:rFonts w:ascii="Arial" w:hAnsi="Arial" w:eastAsia="Arial" w:cs="Arial"/>
          <w:b/>
          <w:color w:val="0F172A"/>
          <w:sz w:val="26"/>
        </w:rPr>
        <w:t>Heat Zones — High Competition vs. Greenfield</w:t>
      </w:r>
    </w:p>
    <w:p>
      <w:pPr>
        <w:spacing w:after="80" w:line="240" w:lineRule="auto"/>
      </w:pPr>
      <w:r>
        <w:rPr>
          <w:rFonts w:ascii="Arial" w:hAnsi="Arial" w:eastAsia="Arial" w:cs="Arial"/>
          <w:b/>
          <w:i w:val="0"/>
          <w:sz w:val="22"/>
        </w:rPr>
        <w:t>Highest combined-vendor penetration (competition density):</w:t>
      </w:r>
    </w:p>
    <w:p>
      <w:pPr>
        <w:pStyle w:val="ListBullet"/>
        <w:spacing w:after="40" w:line="240" w:lineRule="auto"/>
      </w:pPr>
      <w:r/>
      <w:r>
        <w:rPr>
          <w:rFonts w:ascii="Arial" w:hAnsi="Arial" w:eastAsia="Arial" w:cs="Arial"/>
          <w:b w:val="0"/>
          <w:sz w:val="22"/>
        </w:rPr>
        <w:t>District of Columbia (DC) — 10 tracked customers across 1 entities (1000.0%)</w:t>
      </w:r>
    </w:p>
    <w:p>
      <w:pPr>
        <w:pStyle w:val="ListBullet"/>
        <w:spacing w:after="40" w:line="240" w:lineRule="auto"/>
      </w:pPr>
      <w:r/>
      <w:r>
        <w:rPr>
          <w:rFonts w:ascii="Arial" w:hAnsi="Arial" w:eastAsia="Arial" w:cs="Arial"/>
          <w:b w:val="0"/>
          <w:sz w:val="22"/>
        </w:rPr>
        <w:t>Hawaii (HI) — 25 tracked customers across 4 entities (625.0%)</w:t>
      </w:r>
    </w:p>
    <w:p>
      <w:pPr>
        <w:pStyle w:val="ListBullet"/>
        <w:spacing w:after="40" w:line="240" w:lineRule="auto"/>
      </w:pPr>
      <w:r/>
      <w:r>
        <w:rPr>
          <w:rFonts w:ascii="Arial" w:hAnsi="Arial" w:eastAsia="Arial" w:cs="Arial"/>
          <w:b w:val="0"/>
          <w:sz w:val="22"/>
        </w:rPr>
        <w:t>Nevada (NV) — 172 tracked customers across 35 entities (491.4%)</w:t>
      </w:r>
    </w:p>
    <w:p>
      <w:pPr>
        <w:pStyle w:val="ListBullet"/>
        <w:spacing w:after="40" w:line="240" w:lineRule="auto"/>
      </w:pPr>
      <w:r/>
      <w:r>
        <w:rPr>
          <w:rFonts w:ascii="Arial" w:hAnsi="Arial" w:eastAsia="Arial" w:cs="Arial"/>
          <w:b w:val="0"/>
          <w:sz w:val="22"/>
        </w:rPr>
        <w:t>Arizona (AZ) — 291 tracked customers across 106 entities (274.5%)</w:t>
      </w:r>
    </w:p>
    <w:p>
      <w:pPr>
        <w:pStyle w:val="ListBullet"/>
        <w:spacing w:after="40" w:line="240" w:lineRule="auto"/>
      </w:pPr>
      <w:r/>
      <w:r>
        <w:rPr>
          <w:rFonts w:ascii="Arial" w:hAnsi="Arial" w:eastAsia="Arial" w:cs="Arial"/>
          <w:b w:val="0"/>
          <w:sz w:val="22"/>
        </w:rPr>
        <w:t>Utah (UT) — 487 tracked customers across 277 entities (175.8%)</w:t>
      </w:r>
    </w:p>
    <w:p>
      <w:pPr>
        <w:pStyle w:val="ListBullet"/>
        <w:spacing w:after="40" w:line="240" w:lineRule="auto"/>
      </w:pPr>
      <w:r/>
      <w:r>
        <w:rPr>
          <w:rFonts w:ascii="Arial" w:hAnsi="Arial" w:eastAsia="Arial" w:cs="Arial"/>
          <w:b w:val="0"/>
          <w:sz w:val="22"/>
        </w:rPr>
        <w:t>California (CA) — 810 tracked customers across 540 entities (150.0%)</w:t>
      </w:r>
    </w:p>
    <w:p>
      <w:pPr>
        <w:pStyle w:val="ListBullet"/>
        <w:spacing w:after="40" w:line="240" w:lineRule="auto"/>
      </w:pPr>
      <w:r/>
      <w:r>
        <w:rPr>
          <w:rFonts w:ascii="Arial" w:hAnsi="Arial" w:eastAsia="Arial" w:cs="Arial"/>
          <w:b w:val="0"/>
          <w:sz w:val="22"/>
        </w:rPr>
        <w:t>Wyoming (WY) — 177 tracked customers across 122 entities (145.1%)</w:t>
      </w:r>
    </w:p>
    <w:p>
      <w:pPr>
        <w:pStyle w:val="ListBullet"/>
        <w:spacing w:after="40" w:line="240" w:lineRule="auto"/>
      </w:pPr>
      <w:r/>
      <w:r>
        <w:rPr>
          <w:rFonts w:ascii="Arial" w:hAnsi="Arial" w:eastAsia="Arial" w:cs="Arial"/>
          <w:b w:val="0"/>
          <w:sz w:val="22"/>
        </w:rPr>
        <w:t>Virginia (VA) — 464 tracked customers across 324 entities (143.2%)</w:t>
      </w:r>
    </w:p>
    <w:p>
      <w:pPr>
        <w:pStyle w:val="ListBullet"/>
        <w:spacing w:after="40" w:line="240" w:lineRule="auto"/>
      </w:pPr>
      <w:r/>
      <w:r>
        <w:rPr>
          <w:rFonts w:ascii="Arial" w:hAnsi="Arial" w:eastAsia="Arial" w:cs="Arial"/>
          <w:b w:val="0"/>
          <w:sz w:val="22"/>
        </w:rPr>
        <w:t>Maryland (MD) — 251 tracked customers across 180 entities (139.4%)</w:t>
      </w:r>
    </w:p>
    <w:p>
      <w:pPr>
        <w:pStyle w:val="ListBullet"/>
        <w:spacing w:after="40" w:line="240" w:lineRule="auto"/>
      </w:pPr>
      <w:r/>
      <w:r>
        <w:rPr>
          <w:rFonts w:ascii="Arial" w:hAnsi="Arial" w:eastAsia="Arial" w:cs="Arial"/>
          <w:b w:val="0"/>
          <w:sz w:val="22"/>
        </w:rPr>
        <w:t>Colorado (CO) — 446 tracked customers across 333 entities (133.9%)</w:t>
      </w:r>
    </w:p>
    <w:p>
      <w:pPr>
        <w:spacing w:after="80" w:line="240" w:lineRule="auto"/>
      </w:pPr>
      <w:r>
        <w:rPr>
          <w:rFonts w:ascii="Arial" w:hAnsi="Arial" w:eastAsia="Arial" w:cs="Arial"/>
          <w:b/>
          <w:i w:val="0"/>
          <w:sz w:val="22"/>
        </w:rPr>
        <w:t>Lowest penetration / largest white space (states with ≥100 entities):</w:t>
      </w:r>
    </w:p>
    <w:p>
      <w:pPr>
        <w:pStyle w:val="ListBullet"/>
        <w:spacing w:after="40" w:line="240" w:lineRule="auto"/>
      </w:pPr>
      <w:r/>
      <w:r>
        <w:rPr>
          <w:rFonts w:ascii="Arial" w:hAnsi="Arial" w:eastAsia="Arial" w:cs="Arial"/>
          <w:b w:val="0"/>
          <w:sz w:val="22"/>
        </w:rPr>
        <w:t>North Dakota (ND) — 234 tracked customers across 1,721 entities (13.6%)</w:t>
      </w:r>
    </w:p>
    <w:p>
      <w:pPr>
        <w:pStyle w:val="ListBullet"/>
        <w:spacing w:after="40" w:line="240" w:lineRule="auto"/>
      </w:pPr>
      <w:r/>
      <w:r>
        <w:rPr>
          <w:rFonts w:ascii="Arial" w:hAnsi="Arial" w:eastAsia="Arial" w:cs="Arial"/>
          <w:b w:val="0"/>
          <w:sz w:val="22"/>
        </w:rPr>
        <w:t>Maine (ME) — 82 tracked customers across 505 entities (16.2%)</w:t>
      </w:r>
    </w:p>
    <w:p>
      <w:pPr>
        <w:pStyle w:val="ListBullet"/>
        <w:spacing w:after="40" w:line="240" w:lineRule="auto"/>
      </w:pPr>
      <w:r/>
      <w:r>
        <w:rPr>
          <w:rFonts w:ascii="Arial" w:hAnsi="Arial" w:eastAsia="Arial" w:cs="Arial"/>
          <w:b w:val="0"/>
          <w:sz w:val="22"/>
        </w:rPr>
        <w:t>Vermont (VT) — 56 tracked customers across 298 entities (18.8%)</w:t>
      </w:r>
    </w:p>
    <w:p>
      <w:pPr>
        <w:pStyle w:val="ListBullet"/>
        <w:spacing w:after="40" w:line="240" w:lineRule="auto"/>
      </w:pPr>
      <w:r/>
      <w:r>
        <w:rPr>
          <w:rFonts w:ascii="Arial" w:hAnsi="Arial" w:eastAsia="Arial" w:cs="Arial"/>
          <w:b w:val="0"/>
          <w:sz w:val="22"/>
        </w:rPr>
        <w:t>Wisconsin (WI) — 423 tracked customers across 1,923 entities (22.0%)</w:t>
      </w:r>
    </w:p>
    <w:p>
      <w:pPr>
        <w:pStyle w:val="ListBullet"/>
        <w:spacing w:after="40" w:line="240" w:lineRule="auto"/>
      </w:pPr>
      <w:r/>
      <w:r>
        <w:rPr>
          <w:rFonts w:ascii="Arial" w:hAnsi="Arial" w:eastAsia="Arial" w:cs="Arial"/>
          <w:b w:val="0"/>
          <w:sz w:val="22"/>
        </w:rPr>
        <w:t>Minnesota (MN) — 604 tracked customers across 2,721 entities (22.2%)</w:t>
      </w:r>
    </w:p>
    <w:p>
      <w:pPr>
        <w:pStyle w:val="ListBullet"/>
        <w:spacing w:after="40" w:line="240" w:lineRule="auto"/>
      </w:pPr>
      <w:r/>
      <w:r>
        <w:rPr>
          <w:rFonts w:ascii="Arial" w:hAnsi="Arial" w:eastAsia="Arial" w:cs="Arial"/>
          <w:b w:val="0"/>
          <w:sz w:val="22"/>
        </w:rPr>
        <w:t>Illinois (IL) — 695 tracked customers across 2,831 entities (24.5%)</w:t>
      </w:r>
    </w:p>
    <w:p>
      <w:pPr>
        <w:pStyle w:val="ListBullet"/>
        <w:spacing w:after="40" w:line="240" w:lineRule="auto"/>
      </w:pPr>
      <w:r/>
      <w:r>
        <w:rPr>
          <w:rFonts w:ascii="Arial" w:hAnsi="Arial" w:eastAsia="Arial" w:cs="Arial"/>
          <w:b w:val="0"/>
          <w:sz w:val="22"/>
        </w:rPr>
        <w:t>Kansas (KS) — 491 tracked customers across 1,995 entities (24.6%)</w:t>
      </w:r>
    </w:p>
    <w:p>
      <w:pPr>
        <w:pStyle w:val="ListBullet"/>
        <w:spacing w:after="40" w:line="240" w:lineRule="auto"/>
      </w:pPr>
      <w:r/>
      <w:r>
        <w:rPr>
          <w:rFonts w:ascii="Arial" w:hAnsi="Arial" w:eastAsia="Arial" w:cs="Arial"/>
          <w:b w:val="0"/>
          <w:sz w:val="22"/>
        </w:rPr>
        <w:t>South Dakota (SD) — 324 tracked customers across 1,298 entities (25.0%)</w:t>
      </w:r>
    </w:p>
    <w:p>
      <w:pPr>
        <w:pStyle w:val="ListBullet"/>
        <w:spacing w:after="40" w:line="240" w:lineRule="auto"/>
      </w:pPr>
      <w:r/>
      <w:r>
        <w:rPr>
          <w:rFonts w:ascii="Arial" w:hAnsi="Arial" w:eastAsia="Arial" w:cs="Arial"/>
          <w:b w:val="0"/>
          <w:sz w:val="22"/>
        </w:rPr>
        <w:t>Alaska (AK) — 42 tracked customers across 162 entities (25.9%)</w:t>
      </w:r>
    </w:p>
    <w:p>
      <w:pPr>
        <w:pStyle w:val="ListBullet"/>
        <w:spacing w:after="40" w:line="240" w:lineRule="auto"/>
      </w:pPr>
      <w:r/>
      <w:r>
        <w:rPr>
          <w:rFonts w:ascii="Arial" w:hAnsi="Arial" w:eastAsia="Arial" w:cs="Arial"/>
          <w:b w:val="0"/>
          <w:sz w:val="22"/>
        </w:rPr>
        <w:t>Indiana (IN) — 470 tracked customers across 1,665 entities (28.2%)</w:t>
      </w:r>
    </w:p>
    <w:p>
      <w:pPr>
        <w:spacing w:before="240" w:after="120" w:line="240" w:lineRule="auto"/>
      </w:pPr>
      <w:r>
        <w:rPr>
          <w:rFonts w:ascii="Arial" w:hAnsi="Arial" w:eastAsia="Arial" w:cs="Arial"/>
          <w:b/>
          <w:color w:val="0F172A"/>
          <w:sz w:val="26"/>
        </w:rPr>
        <w:t>Ways to Sharpen This Further</w:t>
      </w:r>
    </w:p>
    <w:p>
      <w:pPr>
        <w:pStyle w:val="ListBullet"/>
        <w:spacing w:after="40" w:line="240" w:lineRule="auto"/>
      </w:pPr>
      <w:r/>
      <w:r>
        <w:rPr>
          <w:rFonts w:ascii="Arial" w:hAnsi="Arial" w:eastAsia="Arial" w:cs="Arial"/>
          <w:b w:val="0"/>
          <w:sz w:val="22"/>
        </w:rPr>
        <w:t>Cooperative-purchasing data: Sourcewell, OMNIA Partners, BuyBoard publish awarded-vendor lists; tracking which vendors hold which co-op contracts shows where they’re positioned to be preferred-vendor.</w:t>
      </w:r>
    </w:p>
    <w:p>
      <w:pPr>
        <w:pStyle w:val="ListBullet"/>
        <w:spacing w:after="40" w:line="240" w:lineRule="auto"/>
      </w:pPr>
      <w:r/>
      <w:r>
        <w:rPr>
          <w:rFonts w:ascii="Arial" w:hAnsi="Arial" w:eastAsia="Arial" w:cs="Arial"/>
          <w:b w:val="0"/>
          <w:sz w:val="22"/>
        </w:rPr>
        <w:t>GovShop / GovTribe / GovWin: federal-style contract intelligence with state and local awards to fingerprint named-customer wins by state.</w:t>
      </w:r>
    </w:p>
    <w:p>
      <w:pPr>
        <w:pStyle w:val="ListBullet"/>
        <w:spacing w:after="40" w:line="240" w:lineRule="auto"/>
      </w:pPr>
      <w:r/>
      <w:r>
        <w:rPr>
          <w:rFonts w:ascii="Arial" w:hAnsi="Arial" w:eastAsia="Arial" w:cs="Arial"/>
          <w:b w:val="0"/>
          <w:sz w:val="22"/>
        </w:rPr>
        <w:t>G2 / Capterra / Gartner Peer Insights: customer-review geographic distribution as a sanity check on vendor footprint.</w:t>
      </w:r>
    </w:p>
    <w:p>
      <w:pPr>
        <w:pStyle w:val="ListBullet"/>
        <w:spacing w:after="40" w:line="240" w:lineRule="auto"/>
      </w:pPr>
      <w:r/>
      <w:r>
        <w:rPr>
          <w:rFonts w:ascii="Arial" w:hAnsi="Arial" w:eastAsia="Arial" w:cs="Arial"/>
          <w:b w:val="0"/>
          <w:sz w:val="22"/>
        </w:rPr>
        <w:t>LinkedIn Sales Navigator: filter by current-employer = vendor + by-state to estimate field-sales density and customer service coverage.</w:t>
      </w:r>
    </w:p>
    <w:p>
      <w:pPr>
        <w:pStyle w:val="ListBullet"/>
        <w:spacing w:after="40" w:line="240" w:lineRule="auto"/>
      </w:pPr>
      <w:r/>
      <w:r>
        <w:rPr>
          <w:rFonts w:ascii="Arial" w:hAnsi="Arial" w:eastAsia="Arial" w:cs="Arial"/>
          <w:b w:val="0"/>
          <w:sz w:val="22"/>
        </w:rPr>
        <w:t>Bond-disclosure documents (EMMA, MunicipalBonds.com): municipal ERP vendor sometimes listed in CAFR / ACFR financial statements or appendix vendor lists.</w:t>
      </w:r>
    </w:p>
    <w:p>
      <w:pPr>
        <w:pStyle w:val="ListBullet"/>
        <w:spacing w:after="40" w:line="240" w:lineRule="auto"/>
      </w:pPr>
      <w:r/>
      <w:r>
        <w:rPr>
          <w:rFonts w:ascii="Arial" w:hAnsi="Arial" w:eastAsia="Arial" w:cs="Arial"/>
          <w:b w:val="0"/>
          <w:sz w:val="22"/>
        </w:rPr>
        <w:t>CIO interviews and CIO-focused media (e.g., Government Technology magazine, StateScoop, Route Fifty): qualitative reads on which vendors are gaining vs. losing in specific markets.</w:t>
      </w:r>
    </w:p>
    <w:p>
      <w:pPr>
        <w:pStyle w:val="ListBullet"/>
        <w:spacing w:after="40" w:line="240" w:lineRule="auto"/>
      </w:pPr>
      <w:r/>
      <w:r>
        <w:rPr>
          <w:rFonts w:ascii="Arial" w:hAnsi="Arial" w:eastAsia="Arial" w:cs="Arial"/>
          <w:b w:val="0"/>
          <w:sz w:val="22"/>
        </w:rPr>
        <w:t>RFP-tracking services (BidNet, GovDeals, Demandstar, Periscope/Bonfire): live RFP feeds reveal which vendors are responding where, indicating active sales motion.</w:t>
      </w:r>
    </w:p>
    <w:p>
      <w:pPr>
        <w:spacing w:after="0" w:line="240" w:lineRule="auto"/>
      </w:pPr>
      <w:r>
        <w:rPr>
          <w:rFonts w:ascii="Arial" w:hAnsi="Arial" w:eastAsia="Arial" w:cs="Arial"/>
          <w:b w:val="0"/>
          <w:i w:val="0"/>
          <w:sz w:val="22"/>
        </w:rPr>
      </w:r>
    </w:p>
    <w:p>
      <w:pPr>
        <w:spacing w:after="120" w:line="240" w:lineRule="auto"/>
      </w:pPr>
      <w:r>
        <w:rPr>
          <w:rFonts w:ascii="Arial" w:hAnsi="Arial" w:eastAsia="Arial" w:cs="Arial"/>
          <w:b w:val="0"/>
          <w:i/>
          <w:color w:val="475569"/>
          <w:sz w:val="20"/>
        </w:rPr>
        <w:t>Refresh: Census of Governments runs every 5 years (next 2027). Re-baseline competitor totals every 6 months as vendors publish new customer counts.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