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20"/>
        <w:jc w:val="center"/>
      </w:pPr>
      <w:r>
        <w:rPr>
          <w:rFonts w:ascii="Arial" w:cs="Arial" w:eastAsia="Arial" w:hAnsi="Arial"/>
          <w:b/>
          <w:bCs/>
          <w:color w:val="1B4F8A"/>
          <w:sz w:val="56"/>
          <w:szCs w:val="56"/>
        </w:rPr>
        <w:t xml:space="preserve">AGENTIC TRADING NETWORK</w:t>
      </w:r>
    </w:p>
    <w:p>
      <w:pPr>
        <w:spacing w:before="0" w:after="80"/>
        <w:jc w:val="center"/>
      </w:pPr>
      <w:r>
        <w:rPr>
          <w:rFonts w:ascii="Arial" w:cs="Arial" w:eastAsia="Arial" w:hAnsi="Arial"/>
          <w:i/>
          <w:iCs/>
          <w:color w:val="2E75B6"/>
          <w:sz w:val="32"/>
          <w:szCs w:val="32"/>
        </w:rPr>
        <w:t xml:space="preserve">Agent Architecture &amp; Workflow Specification</w:t>
      </w:r>
    </w:p>
    <w:p>
      <w:pPr>
        <w:spacing w:before="0" w:after="80"/>
        <w:jc w:val="center"/>
      </w:pPr>
      <w:r>
        <w:rPr>
          <w:rFonts w:ascii="Arial" w:cs="Arial" w:eastAsia="Arial" w:hAnsi="Arial"/>
          <w:color w:val="888888"/>
          <w:sz w:val="22"/>
          <w:szCs w:val="22"/>
        </w:rPr>
        <w:t xml:space="preserve">Version 1.0  |  March 2026</w:t>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1B4F8A" w:val="clear"/>
            <w:tcMar>
              <w:top w:type="dxa" w:w="200"/>
              <w:left w:type="dxa" w:w="240"/>
              <w:bottom w:type="dxa" w:w="200"/>
              <w:right w:type="dxa" w:w="240"/>
            </w:tcMar>
          </w:tcPr>
          <w:p>
            <w:pPr>
              <w:jc w:val="center"/>
            </w:pPr>
            <w:r>
              <w:rPr>
                <w:rFonts w:ascii="Arial" w:cs="Arial" w:eastAsia="Arial" w:hAnsi="Arial"/>
                <w:b/>
                <w:bCs/>
                <w:color w:val="FFFFFF"/>
                <w:sz w:val="28"/>
                <w:szCs w:val="28"/>
              </w:rPr>
              <w:t xml:space="preserve">Four-Agent Autonomous Trading System</w:t>
            </w:r>
          </w:p>
          <w:p>
            <w:pPr>
              <w:jc w:val="center"/>
            </w:pPr>
            <w:r>
              <w:rPr>
                <w:rFonts w:ascii="Arial" w:cs="Arial" w:eastAsia="Arial" w:hAnsi="Arial"/>
                <w:color w:val="BDD7EE"/>
                <w:sz w:val="22"/>
                <w:szCs w:val="22"/>
              </w:rPr>
              <w:t xml:space="preserve">Strategy Builder  ·  Backtester  ·  Trader  ·  Trading Coach</w:t>
            </w:r>
          </w:p>
        </w:tc>
      </w:tr>
    </w:tbl>
    <w:p>
      <w:pPr>
        <w:spacing w:before="400" w:after="0"/>
      </w:pPr>
    </w:p>
    <w:p>
      <w:r>
        <w:br w:type="page"/>
      </w:r>
    </w:p>
    <w:p>
      <w:pPr>
        <w:pStyle w:val="Heading1"/>
        <w:spacing w:before="360" w:after="180"/>
      </w:pPr>
      <w:r>
        <w:rPr>
          <w:rFonts w:ascii="Arial" w:cs="Arial" w:eastAsia="Arial" w:hAnsi="Arial"/>
          <w:b/>
          <w:bCs/>
          <w:color w:val="1B4F8A"/>
          <w:sz w:val="36"/>
          <w:szCs w:val="36"/>
        </w:rPr>
        <w:t xml:space="preserve">System Overview</w:t>
      </w:r>
    </w:p>
    <w:p>
      <w:pPr>
        <w:spacing w:before="80" w:after="80"/>
      </w:pPr>
      <w:r>
        <w:rPr>
          <w:rFonts w:ascii="Arial" w:cs="Arial" w:eastAsia="Arial" w:hAnsi="Arial"/>
          <w:sz w:val="22"/>
          <w:szCs w:val="22"/>
        </w:rPr>
        <w:t xml:space="preserve">This document defines the architecture, responsibilities, decision logic, inputs, outputs, and inter-agent communication protocols for the Agentic Trading Network. The system comprises four specialized agents operating in a continuous feedback loop, designed to autonomously generate, test, execute, and refine trading strategies.</w:t>
      </w:r>
    </w:p>
    <w:p>
      <w:pPr>
        <w:spacing w:before="120" w:after="0"/>
      </w:pPr>
    </w:p>
    <w:p>
      <w:pPr>
        <w:pStyle w:val="Heading2"/>
        <w:spacing w:before="280" w:after="140"/>
      </w:pPr>
      <w:r>
        <w:rPr>
          <w:rFonts w:ascii="Arial" w:cs="Arial" w:eastAsia="Arial" w:hAnsi="Arial"/>
          <w:b/>
          <w:bCs/>
          <w:color w:val="2E75B6"/>
          <w:sz w:val="28"/>
          <w:szCs w:val="28"/>
        </w:rPr>
        <w:t xml:space="preserve">Core Design Philosophy</w:t>
      </w:r>
    </w:p>
    <w:p>
      <w:pPr>
        <w:pStyle w:val="ListParagraph"/>
        <w:numPr>
          <w:ilvl w:val="0"/>
          <w:numId w:val="2"/>
        </w:numPr>
        <w:spacing w:before="60" w:after="60"/>
      </w:pPr>
      <w:r>
        <w:rPr>
          <w:rFonts w:ascii="Arial" w:cs="Arial" w:eastAsia="Arial" w:hAnsi="Arial"/>
          <w:sz w:val="22"/>
          <w:szCs w:val="22"/>
        </w:rPr>
        <w:t xml:space="preserve">Separation of concerns — each agent owns one domain and does it exceptionally well</w:t>
      </w:r>
    </w:p>
    <w:p>
      <w:pPr>
        <w:pStyle w:val="ListParagraph"/>
        <w:numPr>
          <w:ilvl w:val="0"/>
          <w:numId w:val="2"/>
        </w:numPr>
        <w:spacing w:before="60" w:after="60"/>
      </w:pPr>
      <w:r>
        <w:rPr>
          <w:rFonts w:ascii="Arial" w:cs="Arial" w:eastAsia="Arial" w:hAnsi="Arial"/>
          <w:sz w:val="22"/>
          <w:szCs w:val="22"/>
        </w:rPr>
        <w:t xml:space="preserve">Risk-first thinking — every agent considers downside before upside</w:t>
      </w:r>
    </w:p>
    <w:p>
      <w:pPr>
        <w:pStyle w:val="ListParagraph"/>
        <w:numPr>
          <w:ilvl w:val="0"/>
          <w:numId w:val="2"/>
        </w:numPr>
        <w:spacing w:before="60" w:after="60"/>
      </w:pPr>
      <w:r>
        <w:rPr>
          <w:rFonts w:ascii="Arial" w:cs="Arial" w:eastAsia="Arial" w:hAnsi="Arial"/>
          <w:sz w:val="22"/>
          <w:szCs w:val="22"/>
        </w:rPr>
        <w:t xml:space="preserve">Continuous learning — the Trading Coach feeds insights back to the Strategy Builder, creating a self-improving loop</w:t>
      </w:r>
    </w:p>
    <w:p>
      <w:pPr>
        <w:pStyle w:val="ListParagraph"/>
        <w:numPr>
          <w:ilvl w:val="0"/>
          <w:numId w:val="2"/>
        </w:numPr>
        <w:spacing w:before="60" w:after="60"/>
      </w:pPr>
      <w:r>
        <w:rPr>
          <w:rFonts w:ascii="Arial" w:cs="Arial" w:eastAsia="Arial" w:hAnsi="Arial"/>
          <w:sz w:val="22"/>
          <w:szCs w:val="22"/>
        </w:rPr>
        <w:t xml:space="preserve">Human oversight — the system is designed to surface decisions for human review at key checkpoints</w:t>
      </w:r>
    </w:p>
    <w:p>
      <w:pPr>
        <w:pStyle w:val="ListParagraph"/>
        <w:numPr>
          <w:ilvl w:val="0"/>
          <w:numId w:val="2"/>
        </w:numPr>
        <w:spacing w:before="60" w:after="60"/>
      </w:pPr>
      <w:r>
        <w:rPr>
          <w:rFonts w:ascii="Arial" w:cs="Arial" w:eastAsia="Arial" w:hAnsi="Arial"/>
          <w:sz w:val="22"/>
          <w:szCs w:val="22"/>
        </w:rPr>
        <w:t xml:space="preserve">Capital preservation — no single trade should risk the entire account; steady compounding beats aggressive speculation</w:t>
      </w:r>
    </w:p>
    <w:p>
      <w:pPr>
        <w:spacing w:before="120" w:after="0"/>
      </w:pPr>
    </w:p>
    <w:p>
      <w:pPr>
        <w:pStyle w:val="Heading2"/>
        <w:spacing w:before="280" w:after="140"/>
      </w:pPr>
      <w:r>
        <w:rPr>
          <w:rFonts w:ascii="Arial" w:cs="Arial" w:eastAsia="Arial" w:hAnsi="Arial"/>
          <w:b/>
          <w:bCs/>
          <w:color w:val="2E75B6"/>
          <w:sz w:val="28"/>
          <w:szCs w:val="28"/>
        </w:rPr>
        <w:t xml:space="preserve">The Workflow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Builder generates 100 candidate strategies per cycle across diverse indicator combinations, timeframes, and risk profiles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Backtester evaluates all 100 against historical data using EV scoring, Monte Carlo drawdown matrices, and prop firm safety checks — selects the top 3 survivors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Trader runs all 3 approved strategies concurrently in paper or live markets, each with its own risk allocation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Step 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Coach monitors performance weekly &amp; monthly, adjusts risk exposure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Step 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 findings feed back to Strategy Builder for next generation of strategies</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1B4F8A" w:val="clear"/>
            <w:tcMar>
              <w:top w:type="dxa" w:w="160"/>
              <w:left w:type="dxa" w:w="200"/>
              <w:bottom w:type="dxa" w:w="160"/>
              <w:right w:type="dxa" w:w="200"/>
            </w:tcMar>
          </w:tcPr>
          <w:p>
            <w:r>
              <w:rPr>
                <w:rFonts w:ascii="Arial" w:cs="Arial" w:eastAsia="Arial" w:hAnsi="Arial"/>
                <w:b/>
                <w:bCs/>
                <w:color w:val="FFFFFF"/>
                <w:sz w:val="32"/>
                <w:szCs w:val="32"/>
              </w:rPr>
              <w:t xml:space="preserve">AGENT 1: STRATEGY BUILDER</w:t>
            </w:r>
          </w:p>
          <w:p>
            <w:r>
              <w:rPr>
                <w:rFonts w:ascii="Arial" w:cs="Arial" w:eastAsia="Arial" w:hAnsi="Arial"/>
                <w:i/>
                <w:iCs/>
                <w:color w:val="E0E8F0"/>
                <w:sz w:val="22"/>
                <w:szCs w:val="22"/>
              </w:rPr>
              <w:t xml:space="preserve">Generates candidate trading strategies for backtesting evaluation</w:t>
            </w:r>
          </w:p>
        </w:tc>
      </w:tr>
    </w:tbl>
    <w:p>
      <w:pPr>
        <w:spacing w:before="160" w:after="0"/>
      </w:pPr>
    </w:p>
    <w:p>
      <w:pPr>
        <w:pStyle w:val="Heading2"/>
        <w:spacing w:before="280" w:after="140"/>
      </w:pPr>
      <w:r>
        <w:rPr>
          <w:rFonts w:ascii="Arial" w:cs="Arial" w:eastAsia="Arial" w:hAnsi="Arial"/>
          <w:b/>
          <w:bCs/>
          <w:color w:val="2E75B6"/>
          <w:sz w:val="28"/>
          <w:szCs w:val="28"/>
        </w:rPr>
        <w:t xml:space="preserve">Role &amp; Purpose</w:t>
      </w:r>
    </w:p>
    <w:p>
      <w:pPr>
        <w:spacing w:before="80" w:after="80"/>
      </w:pPr>
      <w:r>
        <w:rPr>
          <w:rFonts w:ascii="Arial" w:cs="Arial" w:eastAsia="Arial" w:hAnsi="Arial"/>
          <w:sz w:val="22"/>
          <w:szCs w:val="22"/>
        </w:rPr>
        <w:t xml:space="preserve">The Strategy Builder is the creative engine of the network. Its sole purpose is generating well-structured, testable trading strategies by combining technical indicators, risk/reward parameters, entry/exit rules, and market context filters. It does not evaluate strategies — that is the Backtester's job. It produces, diversifies, and innovates.</w:t>
      </w:r>
    </w:p>
    <w:p>
      <w:pPr>
        <w:spacing w:before="100" w:after="0"/>
      </w:pPr>
    </w:p>
    <w:p>
      <w:pPr>
        <w:pStyle w:val="Heading2"/>
        <w:spacing w:before="280" w:after="140"/>
      </w:pPr>
      <w:r>
        <w:rPr>
          <w:rFonts w:ascii="Arial" w:cs="Arial" w:eastAsia="Arial" w:hAnsi="Arial"/>
          <w:b/>
          <w:bCs/>
          <w:color w:val="2E75B6"/>
          <w:sz w:val="28"/>
          <w:szCs w:val="28"/>
        </w:rPr>
        <w:t xml:space="preserve">Core Responsibilities</w:t>
      </w:r>
    </w:p>
    <w:p>
      <w:pPr>
        <w:pStyle w:val="ListParagraph"/>
        <w:numPr>
          <w:ilvl w:val="0"/>
          <w:numId w:val="2"/>
        </w:numPr>
        <w:spacing w:before="60" w:after="60"/>
      </w:pPr>
      <w:r>
        <w:rPr>
          <w:rFonts w:ascii="Arial" w:cs="Arial" w:eastAsia="Arial" w:hAnsi="Arial"/>
          <w:sz w:val="22"/>
          <w:szCs w:val="22"/>
        </w:rPr>
        <w:t xml:space="preserve">Generate a batch of 100 candidate strategies per cycle using maximally varied approaches — different indicator combinations, timeframes, entry logic, and risk profiles</w:t>
      </w:r>
    </w:p>
    <w:p>
      <w:pPr>
        <w:pStyle w:val="ListParagraph"/>
        <w:numPr>
          <w:ilvl w:val="0"/>
          <w:numId w:val="2"/>
        </w:numPr>
        <w:spacing w:before="60" w:after="60"/>
      </w:pPr>
      <w:r>
        <w:rPr>
          <w:rFonts w:ascii="Arial" w:cs="Arial" w:eastAsia="Arial" w:hAnsi="Arial"/>
          <w:sz w:val="22"/>
          <w:szCs w:val="22"/>
        </w:rPr>
        <w:t xml:space="preserve">Ensure no two strategies in a batch are too correlated — diversification is mandatory</w:t>
      </w:r>
    </w:p>
    <w:p>
      <w:pPr>
        <w:pStyle w:val="ListParagraph"/>
        <w:numPr>
          <w:ilvl w:val="0"/>
          <w:numId w:val="2"/>
        </w:numPr>
        <w:spacing w:before="60" w:after="60"/>
      </w:pPr>
      <w:r>
        <w:rPr>
          <w:rFonts w:ascii="Arial" w:cs="Arial" w:eastAsia="Arial" w:hAnsi="Arial"/>
          <w:sz w:val="22"/>
          <w:szCs w:val="22"/>
        </w:rPr>
        <w:t xml:space="preserve">Incorporate feedback from the Trading Coach to refine future strategy generation</w:t>
      </w:r>
    </w:p>
    <w:p>
      <w:pPr>
        <w:pStyle w:val="ListParagraph"/>
        <w:numPr>
          <w:ilvl w:val="0"/>
          <w:numId w:val="2"/>
        </w:numPr>
        <w:spacing w:before="60" w:after="60"/>
      </w:pPr>
      <w:r>
        <w:rPr>
          <w:rFonts w:ascii="Arial" w:cs="Arial" w:eastAsia="Arial" w:hAnsi="Arial"/>
          <w:sz w:val="22"/>
          <w:szCs w:val="22"/>
        </w:rPr>
        <w:t xml:space="preserve">Tag each strategy with metadata: market type, timeframe, indicator set, and risk profile</w:t>
      </w:r>
    </w:p>
    <w:p>
      <w:pPr>
        <w:pStyle w:val="ListParagraph"/>
        <w:numPr>
          <w:ilvl w:val="0"/>
          <w:numId w:val="2"/>
        </w:numPr>
        <w:spacing w:before="60" w:after="60"/>
      </w:pPr>
      <w:r>
        <w:rPr>
          <w:rFonts w:ascii="Arial" w:cs="Arial" w:eastAsia="Arial" w:hAnsi="Arial"/>
          <w:sz w:val="22"/>
          <w:szCs w:val="22"/>
        </w:rPr>
        <w:t xml:space="preserve">Maintain a strategy memory log to avoid regenerating underperforming approaches</w:t>
      </w:r>
    </w:p>
    <w:p>
      <w:pPr>
        <w:spacing w:before="100" w:after="0"/>
      </w:pPr>
    </w:p>
    <w:p>
      <w:pPr>
        <w:pStyle w:val="Heading2"/>
        <w:spacing w:before="280" w:after="140"/>
      </w:pPr>
      <w:r>
        <w:rPr>
          <w:rFonts w:ascii="Arial" w:cs="Arial" w:eastAsia="Arial" w:hAnsi="Arial"/>
          <w:b/>
          <w:bCs/>
          <w:color w:val="2E75B6"/>
          <w:sz w:val="28"/>
          <w:szCs w:val="28"/>
        </w:rPr>
        <w:t xml:space="preserve">Strategy Components</w:t>
      </w:r>
    </w:p>
    <w:p>
      <w:pPr>
        <w:pStyle w:val="Heading3"/>
        <w:spacing w:before="200" w:after="100"/>
      </w:pPr>
      <w:r>
        <w:rPr>
          <w:rFonts w:ascii="Arial" w:cs="Arial" w:eastAsia="Arial" w:hAnsi="Arial"/>
          <w:b/>
          <w:bCs/>
          <w:color w:val="1F5C99"/>
          <w:sz w:val="24"/>
          <w:szCs w:val="24"/>
        </w:rPr>
        <w:t xml:space="preserve">Technical Indicators</w:t>
      </w:r>
    </w:p>
    <w:p>
      <w:pPr>
        <w:spacing w:before="80" w:after="80"/>
      </w:pPr>
      <w:r>
        <w:rPr>
          <w:rFonts w:ascii="Arial" w:cs="Arial" w:eastAsia="Arial" w:hAnsi="Arial"/>
          <w:sz w:val="22"/>
          <w:szCs w:val="22"/>
        </w:rPr>
        <w:t xml:space="preserve">Each strategy must define a primary signal indicator and at least one confirmation indicator. The builder selects from the following categories:</w:t>
      </w:r>
    </w:p>
    <w:p>
      <w:pPr>
        <w:pStyle w:val="ListParagraph"/>
        <w:numPr>
          <w:ilvl w:val="0"/>
          <w:numId w:val="2"/>
        </w:numPr>
        <w:spacing w:before="60" w:after="60"/>
      </w:pPr>
      <w:r>
        <w:rPr>
          <w:rFonts w:ascii="Arial" w:cs="Arial" w:eastAsia="Arial" w:hAnsi="Arial"/>
          <w:sz w:val="22"/>
          <w:szCs w:val="22"/>
        </w:rPr>
        <w:t xml:space="preserve">Trend indicators: Moving Averages (SMA, EMA, WMA), MACD, ADX, Supertrend</w:t>
      </w:r>
    </w:p>
    <w:p>
      <w:pPr>
        <w:pStyle w:val="ListParagraph"/>
        <w:numPr>
          <w:ilvl w:val="0"/>
          <w:numId w:val="2"/>
        </w:numPr>
        <w:spacing w:before="60" w:after="60"/>
      </w:pPr>
      <w:r>
        <w:rPr>
          <w:rFonts w:ascii="Arial" w:cs="Arial" w:eastAsia="Arial" w:hAnsi="Arial"/>
          <w:sz w:val="22"/>
          <w:szCs w:val="22"/>
        </w:rPr>
        <w:t xml:space="preserve">Momentum indicators: RSI, Stochastic Oscillator, CCI, Williams %R, ROC</w:t>
      </w:r>
    </w:p>
    <w:p>
      <w:pPr>
        <w:pStyle w:val="ListParagraph"/>
        <w:numPr>
          <w:ilvl w:val="0"/>
          <w:numId w:val="2"/>
        </w:numPr>
        <w:spacing w:before="60" w:after="60"/>
      </w:pPr>
      <w:r>
        <w:rPr>
          <w:rFonts w:ascii="Arial" w:cs="Arial" w:eastAsia="Arial" w:hAnsi="Arial"/>
          <w:sz w:val="22"/>
          <w:szCs w:val="22"/>
        </w:rPr>
        <w:t xml:space="preserve">Volatility indicators: Bollinger Bands, ATR, Keltner Channels, Standard Deviation</w:t>
      </w:r>
    </w:p>
    <w:p>
      <w:pPr>
        <w:pStyle w:val="ListParagraph"/>
        <w:numPr>
          <w:ilvl w:val="0"/>
          <w:numId w:val="2"/>
        </w:numPr>
        <w:spacing w:before="60" w:after="60"/>
      </w:pPr>
      <w:r>
        <w:rPr>
          <w:rFonts w:ascii="Arial" w:cs="Arial" w:eastAsia="Arial" w:hAnsi="Arial"/>
          <w:sz w:val="22"/>
          <w:szCs w:val="22"/>
        </w:rPr>
        <w:t xml:space="preserve">Volume indicators: OBV, VWAP, Volume Profile, Chaikin Money Flow</w:t>
      </w:r>
    </w:p>
    <w:p>
      <w:pPr>
        <w:pStyle w:val="ListParagraph"/>
        <w:numPr>
          <w:ilvl w:val="0"/>
          <w:numId w:val="2"/>
        </w:numPr>
        <w:spacing w:before="60" w:after="60"/>
      </w:pPr>
      <w:r>
        <w:rPr>
          <w:rFonts w:ascii="Arial" w:cs="Arial" w:eastAsia="Arial" w:hAnsi="Arial"/>
          <w:sz w:val="22"/>
          <w:szCs w:val="22"/>
        </w:rPr>
        <w:t xml:space="preserve">Support/Resistance: Pivot Points, Fibonacci Retracements, Donchian Channels</w:t>
      </w:r>
    </w:p>
    <w:p>
      <w:pPr>
        <w:spacing w:before="80" w:after="0"/>
      </w:pPr>
    </w:p>
    <w:p>
      <w:pPr>
        <w:pStyle w:val="Heading3"/>
        <w:spacing w:before="200" w:after="100"/>
      </w:pPr>
      <w:r>
        <w:rPr>
          <w:rFonts w:ascii="Arial" w:cs="Arial" w:eastAsia="Arial" w:hAnsi="Arial"/>
          <w:b/>
          <w:bCs/>
          <w:color w:val="1F5C99"/>
          <w:sz w:val="24"/>
          <w:szCs w:val="24"/>
        </w:rPr>
        <w:t xml:space="preserve">Entry &amp; Exit Rules</w:t>
      </w:r>
    </w:p>
    <w:p>
      <w:pPr>
        <w:spacing w:before="80" w:after="80"/>
      </w:pPr>
      <w:r>
        <w:rPr>
          <w:rFonts w:ascii="Arial" w:cs="Arial" w:eastAsia="Arial" w:hAnsi="Arial"/>
          <w:sz w:val="22"/>
          <w:szCs w:val="22"/>
        </w:rPr>
        <w:t xml:space="preserve">Every strategy must define precise, unambiguous entry and exit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Entry 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exact condition that initiates a trade (e.g., RSI crosses above 30 + price above 50 EMA)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Entry Filter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confirmation required before entry (e.g., volume above 20-day average)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Stop Loss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acceptable loss per trade, defined as ATR multiple or fixed percentage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Take Profit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exit level, defined as R-multiple (e.g., 2R, 3R) or indicator-based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Trailing Stop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dynamic stop that locks in profits as price moves favorably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Time Exit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hold duration — forces exit if neither TP nor SL is reached</w:t>
            </w:r>
          </w:p>
        </w:tc>
      </w:tr>
    </w:tbl>
    <w:p>
      <w:pPr>
        <w:spacing w:before="80" w:after="0"/>
      </w:pPr>
    </w:p>
    <w:p>
      <w:pPr>
        <w:pStyle w:val="Heading3"/>
        <w:spacing w:before="200" w:after="100"/>
      </w:pPr>
      <w:r>
        <w:rPr>
          <w:rFonts w:ascii="Arial" w:cs="Arial" w:eastAsia="Arial" w:hAnsi="Arial"/>
          <w:b/>
          <w:bCs/>
          <w:color w:val="1F5C99"/>
          <w:sz w:val="24"/>
          <w:szCs w:val="24"/>
        </w:rPr>
        <w:t xml:space="preserve">Risk &amp; Position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Risk Per Trade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Chosen by the Strategy Builder per strategy — tested at 0.5%, 1%, 1.5%, and 2% during backtesting. The Backtester selects whichever level produced the best risk-adjusted return. The 2% cap is absolute and cannot be exceeded under any circumstance.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Position Size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Calculated from the strategy's chosen risk amount and the distance to the stop loss — never manually overridden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Max Open Positions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concurrent trades — default 3, never exceeds 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Correlation Limit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two open positions in highly correlated assets simultaneously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Daily Loss Limit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daily drawdown exceeds 3%, no new trades opened that day</w:t>
            </w:r>
          </w:p>
        </w:tc>
      </w:tr>
    </w:tbl>
    <w:p>
      <w:pPr>
        <w:spacing w:before="100" w:after="0"/>
      </w:pPr>
    </w:p>
    <w:p>
      <w:pPr>
        <w:pStyle w:val="Heading2"/>
        <w:spacing w:before="280" w:after="140"/>
      </w:pPr>
      <w:r>
        <w:rPr>
          <w:rFonts w:ascii="Arial" w:cs="Arial" w:eastAsia="Arial" w:hAnsi="Arial"/>
          <w:b/>
          <w:bCs/>
          <w:color w:val="2E75B6"/>
          <w:sz w:val="28"/>
          <w:szCs w:val="28"/>
        </w:rPr>
        <w:t xml:space="preserve">Strategy Output Format</w:t>
      </w:r>
    </w:p>
    <w:p>
      <w:pPr>
        <w:spacing w:before="80" w:after="80"/>
      </w:pPr>
      <w:r>
        <w:rPr>
          <w:rFonts w:ascii="Arial" w:cs="Arial" w:eastAsia="Arial" w:hAnsi="Arial"/>
          <w:sz w:val="22"/>
          <w:szCs w:val="22"/>
        </w:rPr>
        <w:t xml:space="preserve">Each strategy is output as a structured JSON object containing all parameters required for backtesting. This ensures the Backtester can run it without ambiguity or interpretation.</w:t>
      </w:r>
    </w:p>
    <w:p>
      <w:pPr>
        <w:spacing w:before="80" w:after="0"/>
      </w:pPr>
    </w:p>
    <w:p>
      <w:pPr>
        <w:pStyle w:val="Heading2"/>
        <w:spacing w:before="280" w:after="140"/>
      </w:pPr>
      <w:r>
        <w:rPr>
          <w:rFonts w:ascii="Arial" w:cs="Arial" w:eastAsia="Arial" w:hAnsi="Arial"/>
          <w:b/>
          <w:bCs/>
          <w:color w:val="2E75B6"/>
          <w:sz w:val="28"/>
          <w:szCs w:val="28"/>
        </w:rPr>
        <w:t xml:space="preserve">Inputs Received</w:t>
      </w:r>
    </w:p>
    <w:p>
      <w:pPr>
        <w:pStyle w:val="ListParagraph"/>
        <w:numPr>
          <w:ilvl w:val="0"/>
          <w:numId w:val="2"/>
        </w:numPr>
        <w:spacing w:before="60" w:after="60"/>
      </w:pPr>
      <w:r>
        <w:rPr>
          <w:rFonts w:ascii="Arial" w:cs="Arial" w:eastAsia="Arial" w:hAnsi="Arial"/>
          <w:sz w:val="22"/>
          <w:szCs w:val="22"/>
        </w:rPr>
        <w:t xml:space="preserve">Trading Coach feedback report (weekly/monthly performance analysis)</w:t>
      </w:r>
    </w:p>
    <w:p>
      <w:pPr>
        <w:pStyle w:val="ListParagraph"/>
        <w:numPr>
          <w:ilvl w:val="0"/>
          <w:numId w:val="2"/>
        </w:numPr>
        <w:spacing w:before="60" w:after="60"/>
      </w:pPr>
      <w:r>
        <w:rPr>
          <w:rFonts w:ascii="Arial" w:cs="Arial" w:eastAsia="Arial" w:hAnsi="Arial"/>
          <w:sz w:val="22"/>
          <w:szCs w:val="22"/>
        </w:rPr>
        <w:t xml:space="preserve">Historical performance log of previously generated strategies</w:t>
      </w:r>
    </w:p>
    <w:p>
      <w:pPr>
        <w:pStyle w:val="ListParagraph"/>
        <w:numPr>
          <w:ilvl w:val="0"/>
          <w:numId w:val="2"/>
        </w:numPr>
        <w:spacing w:before="60" w:after="60"/>
      </w:pPr>
      <w:r>
        <w:rPr>
          <w:rFonts w:ascii="Arial" w:cs="Arial" w:eastAsia="Arial" w:hAnsi="Arial"/>
          <w:sz w:val="22"/>
          <w:szCs w:val="22"/>
        </w:rPr>
        <w:t xml:space="preserve">Current market regime classification (trending, ranging, volatile)</w:t>
      </w:r>
    </w:p>
    <w:p>
      <w:pPr>
        <w:pStyle w:val="ListParagraph"/>
        <w:numPr>
          <w:ilvl w:val="0"/>
          <w:numId w:val="2"/>
        </w:numPr>
        <w:spacing w:before="60" w:after="60"/>
      </w:pPr>
      <w:r>
        <w:rPr>
          <w:rFonts w:ascii="Arial" w:cs="Arial" w:eastAsia="Arial" w:hAnsi="Arial"/>
          <w:sz w:val="22"/>
          <w:szCs w:val="22"/>
        </w:rPr>
        <w:t xml:space="preserve">Asset universe and timeframes to focus on for this cycle</w:t>
      </w:r>
    </w:p>
    <w:p>
      <w:pPr>
        <w:spacing w:before="80" w:after="0"/>
      </w:pPr>
    </w:p>
    <w:p>
      <w:pPr>
        <w:pStyle w:val="Heading2"/>
        <w:spacing w:before="280" w:after="140"/>
      </w:pPr>
      <w:r>
        <w:rPr>
          <w:rFonts w:ascii="Arial" w:cs="Arial" w:eastAsia="Arial" w:hAnsi="Arial"/>
          <w:b/>
          <w:bCs/>
          <w:color w:val="2E75B6"/>
          <w:sz w:val="28"/>
          <w:szCs w:val="28"/>
        </w:rPr>
        <w:t xml:space="preserve">Outputs Produced</w:t>
      </w:r>
    </w:p>
    <w:p>
      <w:pPr>
        <w:pStyle w:val="ListParagraph"/>
        <w:numPr>
          <w:ilvl w:val="0"/>
          <w:numId w:val="2"/>
        </w:numPr>
        <w:spacing w:before="60" w:after="60"/>
      </w:pPr>
      <w:r>
        <w:rPr>
          <w:rFonts w:ascii="Arial" w:cs="Arial" w:eastAsia="Arial" w:hAnsi="Arial"/>
          <w:sz w:val="22"/>
          <w:szCs w:val="22"/>
        </w:rPr>
        <w:t xml:space="preserve">Batch of 10 fully parameterized strategy JSON objects</w:t>
      </w:r>
    </w:p>
    <w:p>
      <w:pPr>
        <w:pStyle w:val="ListParagraph"/>
        <w:numPr>
          <w:ilvl w:val="0"/>
          <w:numId w:val="2"/>
        </w:numPr>
        <w:spacing w:before="60" w:after="60"/>
      </w:pPr>
      <w:r>
        <w:rPr>
          <w:rFonts w:ascii="Arial" w:cs="Arial" w:eastAsia="Arial" w:hAnsi="Arial"/>
          <w:sz w:val="22"/>
          <w:szCs w:val="22"/>
        </w:rPr>
        <w:t xml:space="preserve">Strategy metadata tags for each candidate</w:t>
      </w:r>
    </w:p>
    <w:p>
      <w:pPr>
        <w:pStyle w:val="ListParagraph"/>
        <w:numPr>
          <w:ilvl w:val="0"/>
          <w:numId w:val="2"/>
        </w:numPr>
        <w:spacing w:before="60" w:after="60"/>
      </w:pPr>
      <w:r>
        <w:rPr>
          <w:rFonts w:ascii="Arial" w:cs="Arial" w:eastAsia="Arial" w:hAnsi="Arial"/>
          <w:sz w:val="22"/>
          <w:szCs w:val="22"/>
        </w:rPr>
        <w:t xml:space="preserve">Diversity score confirming low correlation between batch strategies</w:t>
      </w:r>
    </w:p>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174A7E" w:val="clear"/>
            <w:tcMar>
              <w:top w:type="dxa" w:w="160"/>
              <w:left w:type="dxa" w:w="200"/>
              <w:bottom w:type="dxa" w:w="160"/>
              <w:right w:type="dxa" w:w="200"/>
            </w:tcMar>
          </w:tcPr>
          <w:p>
            <w:r>
              <w:rPr>
                <w:rFonts w:ascii="Arial" w:cs="Arial" w:eastAsia="Arial" w:hAnsi="Arial"/>
                <w:b/>
                <w:bCs/>
                <w:color w:val="FFFFFF"/>
                <w:sz w:val="32"/>
                <w:szCs w:val="32"/>
              </w:rPr>
              <w:t xml:space="preserve">AGENT 2: STRATEGY BACKTESTER</w:t>
            </w:r>
          </w:p>
          <w:p>
            <w:r>
              <w:rPr>
                <w:rFonts w:ascii="Arial" w:cs="Arial" w:eastAsia="Arial" w:hAnsi="Arial"/>
                <w:i/>
                <w:iCs/>
                <w:color w:val="E0E8F0"/>
                <w:sz w:val="22"/>
                <w:szCs w:val="22"/>
              </w:rPr>
              <w:t xml:space="preserve">Evaluates 100 candidate strategies and selects the top 3 performers using Monte Carlo drawdown matrices</w:t>
            </w:r>
          </w:p>
        </w:tc>
      </w:tr>
    </w:tbl>
    <w:p>
      <w:pPr>
        <w:spacing w:before="160" w:after="0"/>
      </w:pPr>
    </w:p>
    <w:p>
      <w:pPr>
        <w:pStyle w:val="Heading2"/>
        <w:spacing w:before="280" w:after="140"/>
      </w:pPr>
      <w:r>
        <w:rPr>
          <w:rFonts w:ascii="Arial" w:cs="Arial" w:eastAsia="Arial" w:hAnsi="Arial"/>
          <w:b/>
          <w:bCs/>
          <w:color w:val="2E75B6"/>
          <w:sz w:val="28"/>
          <w:szCs w:val="28"/>
        </w:rPr>
        <w:t xml:space="preserve">Role &amp; Purpose</w:t>
      </w:r>
    </w:p>
    <w:p>
      <w:pPr>
        <w:spacing w:before="80" w:after="80"/>
      </w:pPr>
      <w:r>
        <w:rPr>
          <w:rFonts w:ascii="Arial" w:cs="Arial" w:eastAsia="Arial" w:hAnsi="Arial"/>
          <w:sz w:val="22"/>
          <w:szCs w:val="22"/>
        </w:rPr>
        <w:t xml:space="preserve">The Strategy Backtester is the quality gate of the network. It receives 100 candidate strategies from the Builder, runs each against historical market data, applies hard elimination filters, and then ranks survivors using the Monte Carlo drawdown matrices and EV scoring framework. The top 3 strategies — those with the strongest risk-adjusted returns, lowest 95th percentile drawdown, and best prop firm safety classification — are selected and passed to the Trader for concurrent deployment. A 3-in-100 selection rate ensures only genuinely exceptional strategies reach live markets.</w:t>
      </w:r>
    </w:p>
    <w:p>
      <w:pPr>
        <w:spacing w:before="100" w:after="0"/>
      </w:pPr>
    </w:p>
    <w:p>
      <w:pPr>
        <w:pStyle w:val="Heading2"/>
        <w:spacing w:before="280" w:after="140"/>
      </w:pPr>
      <w:r>
        <w:rPr>
          <w:rFonts w:ascii="Arial" w:cs="Arial" w:eastAsia="Arial" w:hAnsi="Arial"/>
          <w:b/>
          <w:bCs/>
          <w:color w:val="2E75B6"/>
          <w:sz w:val="28"/>
          <w:szCs w:val="28"/>
        </w:rPr>
        <w:t xml:space="preserve">Core Responsibilities</w:t>
      </w:r>
    </w:p>
    <w:p>
      <w:pPr>
        <w:pStyle w:val="ListParagraph"/>
        <w:numPr>
          <w:ilvl w:val="0"/>
          <w:numId w:val="2"/>
        </w:numPr>
        <w:spacing w:before="60" w:after="60"/>
      </w:pPr>
      <w:r>
        <w:rPr>
          <w:rFonts w:ascii="Arial" w:cs="Arial" w:eastAsia="Arial" w:hAnsi="Arial"/>
          <w:sz w:val="22"/>
          <w:szCs w:val="22"/>
        </w:rPr>
        <w:t xml:space="preserve">Run all 100 candidate strategies against historical price data (minimum 2 years) in parallel batches</w:t>
      </w:r>
    </w:p>
    <w:p>
      <w:pPr>
        <w:pStyle w:val="ListParagraph"/>
        <w:numPr>
          <w:ilvl w:val="0"/>
          <w:numId w:val="2"/>
        </w:numPr>
        <w:spacing w:before="60" w:after="60"/>
      </w:pPr>
      <w:r>
        <w:rPr>
          <w:rFonts w:ascii="Arial" w:cs="Arial" w:eastAsia="Arial" w:hAnsi="Arial"/>
          <w:sz w:val="22"/>
          <w:szCs w:val="22"/>
        </w:rPr>
        <w:t xml:space="preserve">Apply hard elimination filters — any strategy failing any hard limit is immediately disqualified</w:t>
      </w:r>
    </w:p>
    <w:p>
      <w:pPr>
        <w:pStyle w:val="ListParagraph"/>
        <w:numPr>
          <w:ilvl w:val="0"/>
          <w:numId w:val="2"/>
        </w:numPr>
        <w:spacing w:before="60" w:after="60"/>
      </w:pPr>
      <w:r>
        <w:rPr>
          <w:rFonts w:ascii="Arial" w:cs="Arial" w:eastAsia="Arial" w:hAnsi="Arial"/>
          <w:sz w:val="22"/>
          <w:szCs w:val="22"/>
        </w:rPr>
        <w:t xml:space="preserve">Score all surviving strategies using the Monte Carlo drawdown matrix classifications and EV framework</w:t>
      </w:r>
    </w:p>
    <w:p>
      <w:pPr>
        <w:pStyle w:val="ListParagraph"/>
        <w:numPr>
          <w:ilvl w:val="0"/>
          <w:numId w:val="2"/>
        </w:numPr>
        <w:spacing w:before="60" w:after="60"/>
      </w:pPr>
      <w:r>
        <w:rPr>
          <w:rFonts w:ascii="Arial" w:cs="Arial" w:eastAsia="Arial" w:hAnsi="Arial"/>
          <w:sz w:val="22"/>
          <w:szCs w:val="22"/>
        </w:rPr>
        <w:t xml:space="preserve">Rank survivors and select the top 3 — ensuring the 3 selected strategies are not highly correlated with each other</w:t>
      </w:r>
    </w:p>
    <w:p>
      <w:pPr>
        <w:pStyle w:val="ListParagraph"/>
        <w:numPr>
          <w:ilvl w:val="0"/>
          <w:numId w:val="2"/>
        </w:numPr>
        <w:spacing w:before="60" w:after="60"/>
      </w:pPr>
      <w:r>
        <w:rPr>
          <w:rFonts w:ascii="Arial" w:cs="Arial" w:eastAsia="Arial" w:hAnsi="Arial"/>
          <w:sz w:val="22"/>
          <w:szCs w:val="22"/>
        </w:rPr>
        <w:t xml:space="preserve">Produce a detailed evaluation report explaining the top 3 selections and key eliminations</w:t>
      </w:r>
    </w:p>
    <w:p>
      <w:pPr>
        <w:pStyle w:val="ListParagraph"/>
        <w:numPr>
          <w:ilvl w:val="0"/>
          <w:numId w:val="2"/>
        </w:numPr>
        <w:spacing w:before="60" w:after="60"/>
      </w:pPr>
      <w:r>
        <w:rPr>
          <w:rFonts w:ascii="Arial" w:cs="Arial" w:eastAsia="Arial" w:hAnsi="Arial"/>
          <w:sz w:val="22"/>
          <w:szCs w:val="22"/>
        </w:rPr>
        <w:t xml:space="preserve">Pass all 3 winning strategies and their full scorecards to the Trader for concurrent deployment</w:t>
      </w:r>
    </w:p>
    <w:p>
      <w:pPr>
        <w:spacing w:before="100" w:after="0"/>
      </w:pPr>
    </w:p>
    <w:p>
      <w:pPr>
        <w:pStyle w:val="Heading2"/>
        <w:spacing w:before="280" w:after="140"/>
      </w:pPr>
      <w:r>
        <w:rPr>
          <w:rFonts w:ascii="Arial" w:cs="Arial" w:eastAsia="Arial" w:hAnsi="Arial"/>
          <w:b/>
          <w:bCs/>
          <w:color w:val="2E75B6"/>
          <w:sz w:val="28"/>
          <w:szCs w:val="28"/>
        </w:rPr>
        <w:t xml:space="preserve">Backtesting Methodology</w:t>
      </w:r>
    </w:p>
    <w:p>
      <w:pPr>
        <w:pStyle w:val="Heading3"/>
        <w:spacing w:before="200" w:after="100"/>
      </w:pPr>
      <w:r>
        <w:rPr>
          <w:rFonts w:ascii="Arial" w:cs="Arial" w:eastAsia="Arial" w:hAnsi="Arial"/>
          <w:b/>
          <w:bCs/>
          <w:color w:val="1F5C99"/>
          <w:sz w:val="24"/>
          <w:szCs w:val="24"/>
        </w:rPr>
        <w:t xml:space="preserve">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Lookback Period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2 years of historical OHLCV data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Data 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Yahoo Finance (free) or Alpha Vantage — daily and intraday bars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Market Conditions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must include at least one bull, one bear, and one sideways period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Out-of-Sample Test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20% of data reserved as unseen test set — no optimization allowed on it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Slippage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 slippage applied per trade to simulate real execution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Commission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$1 per trade or 0.05% — whichever is higher</w:t>
            </w:r>
          </w:p>
        </w:tc>
      </w:tr>
    </w:tbl>
    <w:p>
      <w:pPr>
        <w:spacing w:before="80" w:after="0"/>
      </w:pPr>
    </w:p>
    <w:p>
      <w:pPr>
        <w:pStyle w:val="Heading3"/>
        <w:spacing w:before="200" w:after="100"/>
      </w:pPr>
      <w:r>
        <w:rPr>
          <w:rFonts w:ascii="Arial" w:cs="Arial" w:eastAsia="Arial" w:hAnsi="Arial"/>
          <w:b/>
          <w:bCs/>
          <w:color w:val="1F5C99"/>
          <w:sz w:val="24"/>
          <w:szCs w:val="24"/>
        </w:rPr>
        <w:t xml:space="preserve">Hard Elimination Filters</w:t>
      </w:r>
    </w:p>
    <w:p>
      <w:pPr>
        <w:spacing w:before="80" w:after="80"/>
      </w:pPr>
      <w:r>
        <w:rPr>
          <w:rFonts w:ascii="Arial" w:cs="Arial" w:eastAsia="Arial" w:hAnsi="Arial"/>
          <w:sz w:val="22"/>
          <w:szCs w:val="22"/>
        </w:rPr>
        <w:t xml:space="preserve">Any strategy failing ANY of these criteria is immediately disqualified, regardless of other metrics:</w:t>
      </w:r>
    </w:p>
    <w:p>
      <w:pPr>
        <w:pStyle w:val="ListParagraph"/>
        <w:numPr>
          <w:ilvl w:val="0"/>
          <w:numId w:val="2"/>
        </w:numPr>
        <w:spacing w:before="60" w:after="60"/>
      </w:pPr>
      <w:r>
        <w:rPr>
          <w:rFonts w:ascii="Arial" w:cs="Arial" w:eastAsia="Arial" w:hAnsi="Arial"/>
          <w:sz w:val="22"/>
          <w:szCs w:val="22"/>
        </w:rPr>
        <w:t xml:space="preserve">Maximum drawdown exceeds 20% of starting capital</w:t>
      </w:r>
    </w:p>
    <w:p>
      <w:pPr>
        <w:pStyle w:val="ListParagraph"/>
        <w:numPr>
          <w:ilvl w:val="0"/>
          <w:numId w:val="2"/>
        </w:numPr>
        <w:spacing w:before="60" w:after="60"/>
      </w:pPr>
      <w:r>
        <w:rPr>
          <w:rFonts w:ascii="Arial" w:cs="Arial" w:eastAsia="Arial" w:hAnsi="Arial"/>
          <w:sz w:val="22"/>
          <w:szCs w:val="22"/>
        </w:rPr>
        <w:t xml:space="preserve">Win rate below 35% (statistically insufficient edge)</w:t>
      </w:r>
    </w:p>
    <w:p>
      <w:pPr>
        <w:pStyle w:val="ListParagraph"/>
        <w:numPr>
          <w:ilvl w:val="0"/>
          <w:numId w:val="2"/>
        </w:numPr>
        <w:spacing w:before="60" w:after="60"/>
      </w:pPr>
      <w:r>
        <w:rPr>
          <w:rFonts w:ascii="Arial" w:cs="Arial" w:eastAsia="Arial" w:hAnsi="Arial"/>
          <w:sz w:val="22"/>
          <w:szCs w:val="22"/>
        </w:rPr>
        <w:t xml:space="preserve">Fewer than 30 trades in backtest period (insufficient sample size)</w:t>
      </w:r>
    </w:p>
    <w:p>
      <w:pPr>
        <w:pStyle w:val="ListParagraph"/>
        <w:numPr>
          <w:ilvl w:val="0"/>
          <w:numId w:val="2"/>
        </w:numPr>
        <w:spacing w:before="60" w:after="60"/>
      </w:pPr>
      <w:r>
        <w:rPr>
          <w:rFonts w:ascii="Arial" w:cs="Arial" w:eastAsia="Arial" w:hAnsi="Arial"/>
          <w:sz w:val="22"/>
          <w:szCs w:val="22"/>
        </w:rPr>
        <w:t xml:space="preserve">Any single trade loss exceeds 5% of account equity — this applies regardless of what risk per trade level was selected</w:t>
      </w:r>
    </w:p>
    <w:p>
      <w:pPr>
        <w:pStyle w:val="ListParagraph"/>
        <w:numPr>
          <w:ilvl w:val="0"/>
          <w:numId w:val="2"/>
        </w:numPr>
        <w:spacing w:before="60" w:after="60"/>
      </w:pPr>
      <w:r>
        <w:rPr>
          <w:rFonts w:ascii="Arial" w:cs="Arial" w:eastAsia="Arial" w:hAnsi="Arial"/>
          <w:sz w:val="22"/>
          <w:szCs w:val="22"/>
        </w:rPr>
        <w:t xml:space="preserve">Consecutive losing streak exceeds 8 trades</w:t>
      </w:r>
    </w:p>
    <w:p>
      <w:pPr>
        <w:pStyle w:val="ListParagraph"/>
        <w:numPr>
          <w:ilvl w:val="0"/>
          <w:numId w:val="2"/>
        </w:numPr>
        <w:spacing w:before="60" w:after="60"/>
      </w:pPr>
      <w:r>
        <w:rPr>
          <w:rFonts w:ascii="Arial" w:cs="Arial" w:eastAsia="Arial" w:hAnsi="Arial"/>
          <w:sz w:val="22"/>
          <w:szCs w:val="22"/>
        </w:rPr>
        <w:t xml:space="preserve">Sharpe Ratio below 0.5</w:t>
      </w:r>
    </w:p>
    <w:p>
      <w:pPr>
        <w:pStyle w:val="ListParagraph"/>
        <w:numPr>
          <w:ilvl w:val="0"/>
          <w:numId w:val="2"/>
        </w:numPr>
        <w:spacing w:before="60" w:after="60"/>
      </w:pPr>
      <w:r>
        <w:rPr>
          <w:rFonts w:ascii="Arial" w:cs="Arial" w:eastAsia="Arial" w:hAnsi="Arial"/>
          <w:sz w:val="22"/>
          <w:szCs w:val="22"/>
        </w:rPr>
        <w:t xml:space="preserve">Strategy only performs well at the 2% risk level — if it requires maximum risk to look profitable, it is disqualified</w:t>
      </w:r>
    </w:p>
    <w:p>
      <w:pPr>
        <w:spacing w:before="80" w:after="0"/>
      </w:pPr>
    </w:p>
    <w:p>
      <w:pPr>
        <w:pStyle w:val="Heading3"/>
        <w:spacing w:before="200" w:after="100"/>
      </w:pPr>
      <w:r>
        <w:rPr>
          <w:rFonts w:ascii="Arial" w:cs="Arial" w:eastAsia="Arial" w:hAnsi="Arial"/>
          <w:b/>
          <w:bCs/>
          <w:color w:val="1F5C99"/>
          <w:sz w:val="24"/>
          <w:szCs w:val="24"/>
        </w:rPr>
        <w:t xml:space="preserve">Expected Value Calculation</w:t>
      </w:r>
    </w:p>
    <w:p>
      <w:pPr>
        <w:spacing w:before="80" w:after="80"/>
      </w:pPr>
      <w:r>
        <w:rPr>
          <w:rFonts w:ascii="Arial" w:cs="Arial" w:eastAsia="Arial" w:hAnsi="Arial"/>
          <w:sz w:val="22"/>
          <w:szCs w:val="22"/>
        </w:rPr>
        <w:t xml:space="preserve">Before a strategy can be scored, it must demonstrate a positive Expected Value (EV). EV is the mathematical edge of a strategy — the average outcome per trade expressed as a percentage of the amount risked. A strategy with negative EV is a losing strategy regardless of how it looks on any other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EV Formula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 = (Win Rate × Reward) - (Loss Rate × Risk) — expressed as % of risk per trade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Example: 45% WR at 2R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 = (0.45 × 2) - (0.55 × 1) = +0.35R per trade, or +35% of risk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Break-even Win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minimum win rate needed at a given R:R = 1 / (1 + R:R). At 2R this is 33.3%, at 1R this is 50%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Profit Factor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Gross profit divided by gross loss. Must exceed 1.5 to pass. Calculated as: (WR × R:R) / (1 - WR)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EV Disqualification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strategy with EV ≤ 0 is immediately disqualified — no further scoring occurs</w:t>
            </w:r>
          </w:p>
        </w:tc>
      </w:tr>
    </w:tbl>
    <w:p>
      <w:pPr>
        <w:spacing w:before="80" w:after="0"/>
      </w:pPr>
    </w:p>
    <w:p>
      <w:pPr>
        <w:pStyle w:val="Heading3"/>
        <w:spacing w:before="200" w:after="100"/>
      </w:pPr>
      <w:r>
        <w:rPr>
          <w:rFonts w:ascii="Arial" w:cs="Arial" w:eastAsia="Arial" w:hAnsi="Arial"/>
          <w:b/>
          <w:bCs/>
          <w:color w:val="1F5C99"/>
          <w:sz w:val="24"/>
          <w:szCs w:val="24"/>
        </w:rPr>
        <w:t xml:space="preserve">Win Rate Reality Check</w:t>
      </w:r>
    </w:p>
    <w:p>
      <w:pPr>
        <w:spacing w:before="80" w:after="80"/>
      </w:pPr>
      <w:r>
        <w:rPr>
          <w:rFonts w:ascii="Arial" w:cs="Arial" w:eastAsia="Arial" w:hAnsi="Arial"/>
          <w:sz w:val="22"/>
          <w:szCs w:val="22"/>
        </w:rPr>
        <w:t xml:space="preserve">Not all win rates are equal. The Backtester applies a reality check to understand what each win rate actually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30% Win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minimum 2.33R to break even. Viable as a sniper strategy but needs very high R:R. Max drawdown at 2R is typically high.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40% Win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1.5R minimum. Achievable but demands disciplined R:R management. Preferred floor for this system.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45% Win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 edge with 2R+. This is the target baseline for strategies entering scoring.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50% Win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Coin flip baseline — needs any positive R:R to be profitable. Breaks even at 1:1.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55%+ Win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Above average. Verify sample size is sufficient — high win rates on small samples are statistically suspect.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60%+ Win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validation — abnormally high win rates on backtests often indicate curve-fitting to historical data.</w:t>
            </w:r>
          </w:p>
        </w:tc>
      </w:tr>
    </w:tbl>
    <w:p>
      <w:pPr>
        <w:spacing w:before="80" w:after="0"/>
      </w:pPr>
    </w:p>
    <w:p>
      <w:pPr>
        <w:pStyle w:val="Heading3"/>
        <w:spacing w:before="200" w:after="100"/>
      </w:pPr>
      <w:r>
        <w:rPr>
          <w:rFonts w:ascii="Arial" w:cs="Arial" w:eastAsia="Arial" w:hAnsi="Arial"/>
          <w:b/>
          <w:bCs/>
          <w:color w:val="1F5C99"/>
          <w:sz w:val="24"/>
          <w:szCs w:val="24"/>
        </w:rPr>
        <w:t xml:space="preserve">Monte Carlo Drawdown Analysis</w:t>
      </w:r>
    </w:p>
    <w:p>
      <w:pPr>
        <w:spacing w:before="80" w:after="80"/>
      </w:pPr>
      <w:r>
        <w:rPr>
          <w:rFonts w:ascii="Arial" w:cs="Arial" w:eastAsia="Arial" w:hAnsi="Arial"/>
          <w:sz w:val="22"/>
          <w:szCs w:val="22"/>
        </w:rPr>
        <w:t xml:space="preserve">Rather than relying on a single backtest path, the Backtester runs 800 Monte Carlo simulations for each strategy to understand the full range of possible drawdown outcomes. This reveals the statistical worst case, not just the historical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Simulation Count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 independent simulations per strategy — sufficient for stable 95th percentile estimates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95th Percentile DD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drawdown that would be exceeded only 5% of the time — used as the risk benchmark, not the average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Trade Sample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Simulations run over 100 trades minimum — matches typical monthly exposure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Risk Levels Tested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strategy is simulated at its chosen risk per trade (0.5% to 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Max Consecutive Losses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as: log((1 - Loss Rate) × N) / log(1 / Loss Rate) + 2 — the expected worst losing streak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Recovery Requirement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Calculated as: DD% / (100 - DD%) × 100 — how much gain is needed to recover from the drawdown</w:t>
            </w:r>
          </w:p>
        </w:tc>
      </w:tr>
    </w:tbl>
    <w:p>
      <w:pPr>
        <w:spacing w:before="80" w:after="0"/>
      </w:pPr>
    </w:p>
    <w:p>
      <w:pPr>
        <w:pStyle w:val="Heading3"/>
        <w:spacing w:before="200" w:after="100"/>
      </w:pPr>
      <w:r>
        <w:rPr>
          <w:rFonts w:ascii="Arial" w:cs="Arial" w:eastAsia="Arial" w:hAnsi="Arial"/>
          <w:b/>
          <w:bCs/>
          <w:color w:val="1F5C99"/>
          <w:sz w:val="24"/>
          <w:szCs w:val="24"/>
        </w:rPr>
        <w:t xml:space="preserve">Drawdown Risk Classification</w:t>
      </w:r>
    </w:p>
    <w:p>
      <w:pPr>
        <w:spacing w:before="80" w:after="80"/>
      </w:pPr>
      <w:r>
        <w:rPr>
          <w:rFonts w:ascii="Arial" w:cs="Arial" w:eastAsia="Arial" w:hAnsi="Arial"/>
          <w:sz w:val="22"/>
          <w:szCs w:val="22"/>
        </w:rPr>
        <w:t xml:space="preserve">Each strategy receives a drawdown risk classification based on its 95th percentile Monte Carlo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Low Risk (DD &lt; 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Acceptable for all account types. Green light for deployment.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Moderate Risk (4-7%)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Manageable. Passes most prop firm rules. Proceed with monitoring.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High Risk (7-12%)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Approaches prop firm limits. Reduce position sizing or reconsider.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Extreme Risk (DD &gt; 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Disqualified. Recovery requirement becomes unreasonable and violates most prop firm rules.</w:t>
            </w:r>
          </w:p>
        </w:tc>
      </w:tr>
    </w:tbl>
    <w:p>
      <w:pPr>
        <w:spacing w:before="80" w:after="0"/>
      </w:pPr>
    </w:p>
    <w:p>
      <w:pPr>
        <w:pStyle w:val="Heading3"/>
        <w:spacing w:before="200" w:after="100"/>
      </w:pPr>
      <w:r>
        <w:rPr>
          <w:rFonts w:ascii="Arial" w:cs="Arial" w:eastAsia="Arial" w:hAnsi="Arial"/>
          <w:b/>
          <w:bCs/>
          <w:color w:val="1F5C99"/>
          <w:sz w:val="24"/>
          <w:szCs w:val="24"/>
        </w:rPr>
        <w:t xml:space="preserve">Prop Firm Safety Check</w:t>
      </w:r>
    </w:p>
    <w:p>
      <w:pPr>
        <w:spacing w:before="80" w:after="80"/>
      </w:pPr>
      <w:r>
        <w:rPr>
          <w:rFonts w:ascii="Arial" w:cs="Arial" w:eastAsia="Arial" w:hAnsi="Arial"/>
          <w:sz w:val="22"/>
          <w:szCs w:val="22"/>
        </w:rPr>
        <w:t xml:space="preserve">Many traders operate under prop firm rules with defined maximum drawdown limits. The Backtester automatically checks each strategy against three standard prop firm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5% DD Rule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Strictest — many evaluation accounts use this. Strategy must show 95th pct DD below 5% to pass.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8% DD Rule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prop firm maximum daily/weekly drawdown rule.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10% DD Rule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common overall account drawdown limit across prop firms.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Strategies are flagged with which rule they breach first, or marked as passing all three. Only strategies passing the 8% rule or better are eligible for selection.</w:t>
            </w:r>
          </w:p>
        </w:tc>
      </w:tr>
    </w:tbl>
    <w:p>
      <w:pPr>
        <w:spacing w:before="80" w:after="0"/>
      </w:pPr>
    </w:p>
    <w:p>
      <w:pPr>
        <w:pStyle w:val="Heading3"/>
        <w:spacing w:before="200" w:after="100"/>
      </w:pPr>
      <w:r>
        <w:rPr>
          <w:rFonts w:ascii="Arial" w:cs="Arial" w:eastAsia="Arial" w:hAnsi="Arial"/>
          <w:b/>
          <w:bCs/>
          <w:color w:val="1F5C99"/>
          <w:sz w:val="24"/>
          <w:szCs w:val="24"/>
        </w:rPr>
        <w:t xml:space="preserve">Scoring Model</w:t>
      </w:r>
    </w:p>
    <w:p>
      <w:pPr>
        <w:spacing w:before="80" w:after="80"/>
      </w:pPr>
      <w:r>
        <w:rPr>
          <w:rFonts w:ascii="Arial" w:cs="Arial" w:eastAsia="Arial" w:hAnsi="Arial"/>
          <w:sz w:val="22"/>
          <w:szCs w:val="22"/>
        </w:rPr>
        <w:t xml:space="preserve">Strategies surviving all hard filters and EV checks are scored across six weighted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Expected Value Score (25%)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 per trade as % of risk, weighted by profit factor — higher is better. Minimum EV of +20% of risk required to score.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Drawdown Profile (25%)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95th percentile Monte Carlo DD score — lower is better. Weighted by recovery requirement.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Risk-Adjusted Return (20%)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Sharpe Ratio and Sortino Ratio — rewards return per unit of volatility taken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Consistency (15%)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return variance and win rate stability across bull, bear, and sideways periods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Profit Factor (10%)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Gross profit divided by gross loss — minimum 1.5 required, higher scores better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Statistical Confidence (5%)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count relative to minimum sample size. More trades = more reliable edge estimate.</w:t>
            </w:r>
          </w:p>
        </w:tc>
      </w:tr>
    </w:tbl>
    <w:p>
      <w:pPr>
        <w:spacing w:before="80" w:after="0"/>
      </w:pPr>
    </w:p>
    <w:p>
      <w:pPr>
        <w:pStyle w:val="Heading3"/>
        <w:spacing w:before="200" w:after="100"/>
      </w:pPr>
      <w:r>
        <w:rPr>
          <w:rFonts w:ascii="Arial" w:cs="Arial" w:eastAsia="Arial" w:hAnsi="Arial"/>
          <w:b/>
          <w:bCs/>
          <w:color w:val="1F5C99"/>
          <w:sz w:val="24"/>
          <w:szCs w:val="24"/>
        </w:rPr>
        <w:t xml:space="preserve">Return Projection</w:t>
      </w:r>
    </w:p>
    <w:p>
      <w:pPr>
        <w:spacing w:before="80" w:after="80"/>
      </w:pPr>
      <w:r>
        <w:rPr>
          <w:rFonts w:ascii="Arial" w:cs="Arial" w:eastAsia="Arial" w:hAnsi="Arial"/>
          <w:sz w:val="22"/>
          <w:szCs w:val="22"/>
        </w:rPr>
        <w:t xml:space="preserve">Each of the top 3 strategies receives a projected monthly return across 3, 6, 12, and 24 month horizons under three compounding scenarios — no compounding, monthly rebasing, and per-trade compounding. These projections are passed to the Trading Coach as individual performance benchmarks. If any strategy's live performance falls below 50% of its projected return over any monthly period, the Coach flags it for review and potential replacement.</w:t>
      </w:r>
    </w:p>
    <w:p>
      <w:pPr>
        <w:spacing w:before="80" w:after="0"/>
      </w:pPr>
    </w:p>
    <w:p>
      <w:pPr>
        <w:pStyle w:val="Heading3"/>
        <w:spacing w:before="200" w:after="100"/>
      </w:pPr>
      <w:r>
        <w:rPr>
          <w:rFonts w:ascii="Arial" w:cs="Arial" w:eastAsia="Arial" w:hAnsi="Arial"/>
          <w:b/>
          <w:bCs/>
          <w:color w:val="1F5C99"/>
          <w:sz w:val="24"/>
          <w:szCs w:val="24"/>
        </w:rPr>
        <w:t xml:space="preserve">Matrix-Based Selection Logic</w:t>
      </w:r>
    </w:p>
    <w:p>
      <w:pPr>
        <w:spacing w:before="80" w:after="80"/>
      </w:pPr>
      <w:r>
        <w:rPr>
          <w:rFonts w:ascii="Arial" w:cs="Arial" w:eastAsia="Arial" w:hAnsi="Arial"/>
          <w:sz w:val="22"/>
          <w:szCs w:val="22"/>
        </w:rPr>
        <w:t xml:space="preserve">After scoring, the top 3 strategies are selected using a two-stage process. First, the highest-scoring strategy is chosen. Second, the next highest-scoring strategy that is NOT highly correlated with the first is selected. Third, the next highest-scoring strategy that is NOT highly correlated with either of the first two is selected. This ensures the 3 deployed strategies complement each other rather than amplifying the same risk. If a top-ranked strategy is materially similar to one already deployed and underperforming, it is skipped and the next ranked strategy is considered. The prop firm safety matrix classification from the drawdown matrices is the final arbiter — all 3 selected strategies must sit in the green or yellow zone at their chosen risk level.</w:t>
      </w:r>
    </w:p>
    <w:p>
      <w:pPr>
        <w:spacing w:before="100" w:after="0"/>
      </w:pPr>
    </w:p>
    <w:p>
      <w:pPr>
        <w:pStyle w:val="Heading2"/>
        <w:spacing w:before="280" w:after="140"/>
      </w:pPr>
      <w:r>
        <w:rPr>
          <w:rFonts w:ascii="Arial" w:cs="Arial" w:eastAsia="Arial" w:hAnsi="Arial"/>
          <w:b/>
          <w:bCs/>
          <w:color w:val="2E75B6"/>
          <w:sz w:val="28"/>
          <w:szCs w:val="28"/>
        </w:rPr>
        <w:t xml:space="preserve">Inputs Received</w:t>
      </w:r>
    </w:p>
    <w:p>
      <w:pPr>
        <w:pStyle w:val="ListParagraph"/>
        <w:numPr>
          <w:ilvl w:val="0"/>
          <w:numId w:val="2"/>
        </w:numPr>
        <w:spacing w:before="60" w:after="60"/>
      </w:pPr>
      <w:r>
        <w:rPr>
          <w:rFonts w:ascii="Arial" w:cs="Arial" w:eastAsia="Arial" w:hAnsi="Arial"/>
          <w:sz w:val="22"/>
          <w:szCs w:val="22"/>
        </w:rPr>
        <w:t xml:space="preserve">100 candidate strategy JSON objects from the Strategy Builder</w:t>
      </w:r>
    </w:p>
    <w:p>
      <w:pPr>
        <w:pStyle w:val="ListParagraph"/>
        <w:numPr>
          <w:ilvl w:val="0"/>
          <w:numId w:val="2"/>
        </w:numPr>
        <w:spacing w:before="60" w:after="60"/>
      </w:pPr>
      <w:r>
        <w:rPr>
          <w:rFonts w:ascii="Arial" w:cs="Arial" w:eastAsia="Arial" w:hAnsi="Arial"/>
          <w:sz w:val="22"/>
          <w:szCs w:val="22"/>
        </w:rPr>
        <w:t xml:space="preserve">Historical OHLCV market data for the relevant assets and timeframes</w:t>
      </w:r>
    </w:p>
    <w:p>
      <w:pPr>
        <w:pStyle w:val="ListParagraph"/>
        <w:numPr>
          <w:ilvl w:val="0"/>
          <w:numId w:val="2"/>
        </w:numPr>
        <w:spacing w:before="60" w:after="60"/>
      </w:pPr>
      <w:r>
        <w:rPr>
          <w:rFonts w:ascii="Arial" w:cs="Arial" w:eastAsia="Arial" w:hAnsi="Arial"/>
          <w:sz w:val="22"/>
          <w:szCs w:val="22"/>
        </w:rPr>
        <w:t xml:space="preserve">Historical performance log of previously deployed strategies</w:t>
      </w:r>
    </w:p>
    <w:p>
      <w:pPr>
        <w:spacing w:before="80" w:after="0"/>
      </w:pPr>
    </w:p>
    <w:p>
      <w:pPr>
        <w:pStyle w:val="Heading2"/>
        <w:spacing w:before="280" w:after="140"/>
      </w:pPr>
      <w:r>
        <w:rPr>
          <w:rFonts w:ascii="Arial" w:cs="Arial" w:eastAsia="Arial" w:hAnsi="Arial"/>
          <w:b/>
          <w:bCs/>
          <w:color w:val="2E75B6"/>
          <w:sz w:val="28"/>
          <w:szCs w:val="28"/>
        </w:rPr>
        <w:t xml:space="preserve">Outputs Produced</w:t>
      </w:r>
    </w:p>
    <w:p>
      <w:pPr>
        <w:pStyle w:val="ListParagraph"/>
        <w:numPr>
          <w:ilvl w:val="0"/>
          <w:numId w:val="2"/>
        </w:numPr>
        <w:spacing w:before="60" w:after="60"/>
      </w:pPr>
      <w:r>
        <w:rPr>
          <w:rFonts w:ascii="Arial" w:cs="Arial" w:eastAsia="Arial" w:hAnsi="Arial"/>
          <w:sz w:val="22"/>
          <w:szCs w:val="22"/>
        </w:rPr>
        <w:t xml:space="preserve">Full scorecard for all 100 strategies with elimination reasons (passed to Trading Coach for reference)</w:t>
      </w:r>
    </w:p>
    <w:p>
      <w:pPr>
        <w:pStyle w:val="ListParagraph"/>
        <w:numPr>
          <w:ilvl w:val="0"/>
          <w:numId w:val="2"/>
        </w:numPr>
        <w:spacing w:before="60" w:after="60"/>
      </w:pPr>
      <w:r>
        <w:rPr>
          <w:rFonts w:ascii="Arial" w:cs="Arial" w:eastAsia="Arial" w:hAnsi="Arial"/>
          <w:sz w:val="22"/>
          <w:szCs w:val="22"/>
        </w:rPr>
        <w:t xml:space="preserve">Top 3 winning strategy JSONs with complete performance metrics and matrix classifications</w:t>
      </w:r>
    </w:p>
    <w:p>
      <w:pPr>
        <w:pStyle w:val="ListParagraph"/>
        <w:numPr>
          <w:ilvl w:val="0"/>
          <w:numId w:val="2"/>
        </w:numPr>
        <w:spacing w:before="60" w:after="60"/>
      </w:pPr>
      <w:r>
        <w:rPr>
          <w:rFonts w:ascii="Arial" w:cs="Arial" w:eastAsia="Arial" w:hAnsi="Arial"/>
          <w:sz w:val="22"/>
          <w:szCs w:val="22"/>
        </w:rPr>
        <w:t xml:space="preserve">Elimination report summarising the most common failure reasons across the 100 candidates</w:t>
      </w:r>
    </w:p>
    <w:p>
      <w:pPr>
        <w:pStyle w:val="ListParagraph"/>
        <w:numPr>
          <w:ilvl w:val="0"/>
          <w:numId w:val="2"/>
        </w:numPr>
        <w:spacing w:before="60" w:after="60"/>
      </w:pPr>
      <w:r>
        <w:rPr>
          <w:rFonts w:ascii="Arial" w:cs="Arial" w:eastAsia="Arial" w:hAnsi="Arial"/>
          <w:sz w:val="22"/>
          <w:szCs w:val="22"/>
        </w:rPr>
        <w:t xml:space="preserve">Confidence rating for each of the 3 selected strategies (High / Medium / Low)</w:t>
      </w:r>
    </w:p>
    <w:p>
      <w:pPr>
        <w:pStyle w:val="ListParagraph"/>
        <w:numPr>
          <w:ilvl w:val="0"/>
          <w:numId w:val="2"/>
        </w:numPr>
        <w:spacing w:before="60" w:after="60"/>
      </w:pPr>
      <w:r>
        <w:rPr>
          <w:rFonts w:ascii="Arial" w:cs="Arial" w:eastAsia="Arial" w:hAnsi="Arial"/>
          <w:sz w:val="22"/>
          <w:szCs w:val="22"/>
        </w:rPr>
        <w:t xml:space="preserve">Drawdown matrix classification for each selected strategy at its chosen risk level</w:t>
      </w:r>
    </w:p>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0F3460" w:val="clear"/>
            <w:tcMar>
              <w:top w:type="dxa" w:w="160"/>
              <w:left w:type="dxa" w:w="200"/>
              <w:bottom w:type="dxa" w:w="160"/>
              <w:right w:type="dxa" w:w="200"/>
            </w:tcMar>
          </w:tcPr>
          <w:p>
            <w:r>
              <w:rPr>
                <w:rFonts w:ascii="Arial" w:cs="Arial" w:eastAsia="Arial" w:hAnsi="Arial"/>
                <w:b/>
                <w:bCs/>
                <w:color w:val="FFFFFF"/>
                <w:sz w:val="32"/>
                <w:szCs w:val="32"/>
              </w:rPr>
              <w:t xml:space="preserve">AGENT 3: TRADER</w:t>
            </w:r>
          </w:p>
          <w:p>
            <w:r>
              <w:rPr>
                <w:rFonts w:ascii="Arial" w:cs="Arial" w:eastAsia="Arial" w:hAnsi="Arial"/>
                <w:i/>
                <w:iCs/>
                <w:color w:val="E0E8F0"/>
                <w:sz w:val="22"/>
                <w:szCs w:val="22"/>
              </w:rPr>
              <w:t xml:space="preserve">Executes approved strategies in live or paper markets with precision</w:t>
            </w:r>
          </w:p>
        </w:tc>
      </w:tr>
    </w:tbl>
    <w:p>
      <w:pPr>
        <w:spacing w:before="160" w:after="0"/>
      </w:pPr>
    </w:p>
    <w:p>
      <w:pPr>
        <w:pStyle w:val="Heading2"/>
        <w:spacing w:before="280" w:after="140"/>
      </w:pPr>
      <w:r>
        <w:rPr>
          <w:rFonts w:ascii="Arial" w:cs="Arial" w:eastAsia="Arial" w:hAnsi="Arial"/>
          <w:b/>
          <w:bCs/>
          <w:color w:val="2E75B6"/>
          <w:sz w:val="28"/>
          <w:szCs w:val="28"/>
        </w:rPr>
        <w:t xml:space="preserve">Role &amp; Purpose</w:t>
      </w:r>
    </w:p>
    <w:p>
      <w:pPr>
        <w:spacing w:before="80" w:after="80"/>
      </w:pPr>
      <w:r>
        <w:rPr>
          <w:rFonts w:ascii="Arial" w:cs="Arial" w:eastAsia="Arial" w:hAnsi="Arial"/>
          <w:sz w:val="22"/>
          <w:szCs w:val="22"/>
        </w:rPr>
        <w:t xml:space="preserve">The Trader is the execution arm of the network. It receives the Backtester's top 3 selected strategies and runs all three concurrently in real or simulated markets. Each strategy operates independently with its own risk allocation, position tracking, and performance log. The Trader does not deviate from any strategy, does not make discretionary decisions, and does not override risk parameters. Its job is flawless parallel execution, complete per-strategy trade logging, and surfacing real-world performance data for the Trading Coach.</w:t>
      </w:r>
    </w:p>
    <w:p>
      <w:pPr>
        <w:spacing w:before="100" w:after="0"/>
      </w:pPr>
    </w:p>
    <w:p>
      <w:pPr>
        <w:pStyle w:val="Heading2"/>
        <w:spacing w:before="280" w:after="140"/>
      </w:pPr>
      <w:r>
        <w:rPr>
          <w:rFonts w:ascii="Arial" w:cs="Arial" w:eastAsia="Arial" w:hAnsi="Arial"/>
          <w:b/>
          <w:bCs/>
          <w:color w:val="2E75B6"/>
          <w:sz w:val="28"/>
          <w:szCs w:val="28"/>
        </w:rPr>
        <w:t xml:space="preserve">Core Responsibilities</w:t>
      </w:r>
    </w:p>
    <w:p>
      <w:pPr>
        <w:pStyle w:val="ListParagraph"/>
        <w:numPr>
          <w:ilvl w:val="0"/>
          <w:numId w:val="2"/>
        </w:numPr>
        <w:spacing w:before="60" w:after="60"/>
      </w:pPr>
      <w:r>
        <w:rPr>
          <w:rFonts w:ascii="Arial" w:cs="Arial" w:eastAsia="Arial" w:hAnsi="Arial"/>
          <w:sz w:val="22"/>
          <w:szCs w:val="22"/>
        </w:rPr>
        <w:t xml:space="preserve">Load all 3 approved strategies and their parameters before market open each day</w:t>
      </w:r>
    </w:p>
    <w:p>
      <w:pPr>
        <w:pStyle w:val="ListParagraph"/>
        <w:numPr>
          <w:ilvl w:val="0"/>
          <w:numId w:val="2"/>
        </w:numPr>
        <w:spacing w:before="60" w:after="60"/>
      </w:pPr>
      <w:r>
        <w:rPr>
          <w:rFonts w:ascii="Arial" w:cs="Arial" w:eastAsia="Arial" w:hAnsi="Arial"/>
          <w:sz w:val="22"/>
          <w:szCs w:val="22"/>
        </w:rPr>
        <w:t xml:space="preserve">Run all 3 strategies concurrently — each monitored independently for entry triggers</w:t>
      </w:r>
    </w:p>
    <w:p>
      <w:pPr>
        <w:pStyle w:val="ListParagraph"/>
        <w:numPr>
          <w:ilvl w:val="0"/>
          <w:numId w:val="2"/>
        </w:numPr>
        <w:spacing w:before="60" w:after="60"/>
      </w:pPr>
      <w:r>
        <w:rPr>
          <w:rFonts w:ascii="Arial" w:cs="Arial" w:eastAsia="Arial" w:hAnsi="Arial"/>
          <w:sz w:val="22"/>
          <w:szCs w:val="22"/>
        </w:rPr>
        <w:t xml:space="preserve">Manage open positions for each strategy according to its own stop loss, take profit, and trailing stop rules</w:t>
      </w:r>
    </w:p>
    <w:p>
      <w:pPr>
        <w:pStyle w:val="ListParagraph"/>
        <w:numPr>
          <w:ilvl w:val="0"/>
          <w:numId w:val="2"/>
        </w:numPr>
        <w:spacing w:before="60" w:after="60"/>
      </w:pPr>
      <w:r>
        <w:rPr>
          <w:rFonts w:ascii="Arial" w:cs="Arial" w:eastAsia="Arial" w:hAnsi="Arial"/>
          <w:sz w:val="22"/>
          <w:szCs w:val="22"/>
        </w:rPr>
        <w:t xml:space="preserve">Track risk budget separately per strategy — each strategy has its own daily loss limit</w:t>
      </w:r>
    </w:p>
    <w:p>
      <w:pPr>
        <w:pStyle w:val="ListParagraph"/>
        <w:numPr>
          <w:ilvl w:val="0"/>
          <w:numId w:val="2"/>
        </w:numPr>
        <w:spacing w:before="60" w:after="60"/>
      </w:pPr>
      <w:r>
        <w:rPr>
          <w:rFonts w:ascii="Arial" w:cs="Arial" w:eastAsia="Arial" w:hAnsi="Arial"/>
          <w:sz w:val="22"/>
          <w:szCs w:val="22"/>
        </w:rPr>
        <w:t xml:space="preserve">Enforce total account risk limit across all 3 strategies combined — no single day can lose more than 5% across all active strategies</w:t>
      </w:r>
    </w:p>
    <w:p>
      <w:pPr>
        <w:pStyle w:val="ListParagraph"/>
        <w:numPr>
          <w:ilvl w:val="0"/>
          <w:numId w:val="2"/>
        </w:numPr>
        <w:spacing w:before="60" w:after="60"/>
      </w:pPr>
      <w:r>
        <w:rPr>
          <w:rFonts w:ascii="Arial" w:cs="Arial" w:eastAsia="Arial" w:hAnsi="Arial"/>
          <w:sz w:val="22"/>
          <w:szCs w:val="22"/>
        </w:rPr>
        <w:t xml:space="preserve">Log every trade in full detail per strategy: entry time, exit time, price, size, P&amp;L, reason for exit, which strategy triggered it</w:t>
      </w:r>
    </w:p>
    <w:p>
      <w:pPr>
        <w:pStyle w:val="ListParagraph"/>
        <w:numPr>
          <w:ilvl w:val="0"/>
          <w:numId w:val="2"/>
        </w:numPr>
        <w:spacing w:before="60" w:after="60"/>
      </w:pPr>
      <w:r>
        <w:rPr>
          <w:rFonts w:ascii="Arial" w:cs="Arial" w:eastAsia="Arial" w:hAnsi="Arial"/>
          <w:sz w:val="22"/>
          <w:szCs w:val="22"/>
        </w:rPr>
        <w:t xml:space="preserve">Report daily and weekly performance summaries per strategy to the Trading Coach</w:t>
      </w:r>
    </w:p>
    <w:p>
      <w:pPr>
        <w:pStyle w:val="ListParagraph"/>
        <w:numPr>
          <w:ilvl w:val="0"/>
          <w:numId w:val="2"/>
        </w:numPr>
        <w:spacing w:before="60" w:after="60"/>
      </w:pPr>
      <w:r>
        <w:rPr>
          <w:rFonts w:ascii="Arial" w:cs="Arial" w:eastAsia="Arial" w:hAnsi="Arial"/>
          <w:sz w:val="22"/>
          <w:szCs w:val="22"/>
        </w:rPr>
        <w:t xml:space="preserve">Flag anomalies — if market conditions change materially for any strategy, escalate to human review</w:t>
      </w:r>
    </w:p>
    <w:p>
      <w:pPr>
        <w:spacing w:before="100" w:after="0"/>
      </w:pPr>
    </w:p>
    <w:p>
      <w:pPr>
        <w:pStyle w:val="Heading2"/>
        <w:spacing w:before="280" w:after="140"/>
      </w:pPr>
      <w:r>
        <w:rPr>
          <w:rFonts w:ascii="Arial" w:cs="Arial" w:eastAsia="Arial" w:hAnsi="Arial"/>
          <w:b/>
          <w:bCs/>
          <w:color w:val="2E75B6"/>
          <w:sz w:val="28"/>
          <w:szCs w:val="28"/>
        </w:rPr>
        <w:t xml:space="preserve">Risk Management Philosophy</w:t>
      </w:r>
    </w:p>
    <w:p>
      <w:pPr>
        <w:spacing w:before="80" w:after="80"/>
      </w:pPr>
      <w:r>
        <w:rPr>
          <w:rFonts w:ascii="Arial" w:cs="Arial" w:eastAsia="Arial" w:hAnsi="Arial"/>
          <w:sz w:val="22"/>
          <w:szCs w:val="22"/>
        </w:rPr>
        <w:t xml:space="preserve">The Trader follows the risk management settings defined in each individual strategy — not a generic set of defaults. This is critical: the Backtester already optimized and validated those specific risk parameters. If the Trader overrides them, it is no longer executing the tested strategy. That would invalidate the backtest entirely.</w:t>
      </w:r>
    </w:p>
    <w:p>
      <w:pPr>
        <w:spacing w:before="80" w:after="80"/>
      </w:pPr>
      <w:r>
        <w:rPr>
          <w:rFonts w:ascii="Arial" w:cs="Arial" w:eastAsia="Arial" w:hAnsi="Arial"/>
          <w:sz w:val="22"/>
          <w:szCs w:val="22"/>
        </w:rPr>
        <w:t xml:space="preserve">With 3 strategies running concurrently, total account exposure must be managed carefully. Each strategy's risk per trade is capped at its backtested level, and the combined daily loss limit across all 3 strategies is 5% — not 5% per strategy. Hard safety overrides are non-negotiable regardless of what any strategy instructs: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Per-Strategy Risk Settings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Trader reads and follows each strategy's individual: risk per trade %, stop loss, take profit, trailing stop, max concurrent positions, and entry/exit timing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Combined Exposure Limit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open risk across all 3 strategies cannot exceed 6% of account equity at any time — prevents over-exposure when all 3 strategies enter simultaneously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Hard Override: Daily Halt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total account equity drops 5% across all strategies in a single day, all trading halts — no exceptions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Hard Override: Weekly Reduction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combined weekly drawdown reaches 8%, position sizes are cut by 50% across all strategies for the remainder of the week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Hard Override: Single Trade Cap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single trade from any strategy may risk more than 2% of account equity — network-level rule, cannot be overridden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Hard Override: Strategy Isolation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one strategy triggers a daily halt individually (3% single-strategy daily loss), that strategy pauses — the other two continue unaffected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Hard Override: Regime Change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the Trading Coach flags a major market regime shift, the Trader pauses new entries across all strategies until cleared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Hard Override: API Failure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broker connection is lost, all open positions across all strategies are closed if possible and all activity halts</w:t>
            </w:r>
          </w:p>
        </w:tc>
      </w:tr>
    </w:tbl>
    <w:p>
      <w:pPr>
        <w:spacing w:before="80" w:after="0"/>
      </w:pPr>
    </w:p>
    <w:p>
      <w:pPr>
        <w:pStyle w:val="Heading3"/>
        <w:spacing w:before="200" w:after="100"/>
      </w:pPr>
      <w:r>
        <w:rPr>
          <w:rFonts w:ascii="Arial" w:cs="Arial" w:eastAsia="Arial" w:hAnsi="Arial"/>
          <w:b/>
          <w:bCs/>
          <w:color w:val="1F5C99"/>
          <w:sz w:val="24"/>
          <w:szCs w:val="24"/>
        </w:rPr>
        <w:t xml:space="preserve">Pre-Trade Checklist</w:t>
      </w:r>
    </w:p>
    <w:p>
      <w:pPr>
        <w:spacing w:before="80" w:after="80"/>
      </w:pPr>
      <w:r>
        <w:rPr>
          <w:rFonts w:ascii="Arial" w:cs="Arial" w:eastAsia="Arial" w:hAnsi="Arial"/>
          <w:sz w:val="22"/>
          <w:szCs w:val="22"/>
        </w:rPr>
        <w:t xml:space="preserve">Before executing any trade from any strategy, the Trader verifies all of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Strategy Loaded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parameters confirmed and loaded from Backtester output for this specific strategy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Per-Strategy Risk Budget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this strategy's individual daily loss limit has not been reached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Combined Risk Budget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total account exposure from all 3 strategies combined is within the 6% limit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Position Limit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open position count for this strategy is below its maximum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Correlation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new trade is not highly correlated with any existing open position across all 3 strategies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Market Hours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market is open and liquidity is sufficient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News Filter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Avoid entry within 30 minutes of major economic announcements</w:t>
            </w:r>
          </w:p>
        </w:tc>
      </w:tr>
    </w:tbl>
    <w:p>
      <w:pPr>
        <w:spacing w:before="80" w:after="0"/>
      </w:pPr>
    </w:p>
    <w:p>
      <w:pPr>
        <w:pStyle w:val="Heading3"/>
        <w:spacing w:before="200" w:after="100"/>
      </w:pPr>
      <w:r>
        <w:rPr>
          <w:rFonts w:ascii="Arial" w:cs="Arial" w:eastAsia="Arial" w:hAnsi="Arial"/>
          <w:b/>
          <w:bCs/>
          <w:color w:val="1F5C99"/>
          <w:sz w:val="24"/>
          <w:szCs w:val="24"/>
        </w:rPr>
        <w:t xml:space="preserve">Trade Execution Rules</w:t>
      </w:r>
    </w:p>
    <w:p>
      <w:pPr>
        <w:pStyle w:val="ListParagraph"/>
        <w:numPr>
          <w:ilvl w:val="0"/>
          <w:numId w:val="2"/>
        </w:numPr>
        <w:spacing w:before="60" w:after="60"/>
      </w:pPr>
      <w:r>
        <w:rPr>
          <w:rFonts w:ascii="Arial" w:cs="Arial" w:eastAsia="Arial" w:hAnsi="Arial"/>
          <w:sz w:val="22"/>
          <w:szCs w:val="22"/>
        </w:rPr>
        <w:t xml:space="preserve">Entry orders are limit orders by default — market orders only if price moves away within 5 seconds</w:t>
      </w:r>
    </w:p>
    <w:p>
      <w:pPr>
        <w:pStyle w:val="ListParagraph"/>
        <w:numPr>
          <w:ilvl w:val="0"/>
          <w:numId w:val="2"/>
        </w:numPr>
        <w:spacing w:before="60" w:after="60"/>
      </w:pPr>
      <w:r>
        <w:rPr>
          <w:rFonts w:ascii="Arial" w:cs="Arial" w:eastAsia="Arial" w:hAnsi="Arial"/>
          <w:sz w:val="22"/>
          <w:szCs w:val="22"/>
        </w:rPr>
        <w:t xml:space="preserve">Stop loss is placed immediately upon entry — never a mental stop</w:t>
      </w:r>
    </w:p>
    <w:p>
      <w:pPr>
        <w:pStyle w:val="ListParagraph"/>
        <w:numPr>
          <w:ilvl w:val="0"/>
          <w:numId w:val="2"/>
        </w:numPr>
        <w:spacing w:before="60" w:after="60"/>
      </w:pPr>
      <w:r>
        <w:rPr>
          <w:rFonts w:ascii="Arial" w:cs="Arial" w:eastAsia="Arial" w:hAnsi="Arial"/>
          <w:sz w:val="22"/>
          <w:szCs w:val="22"/>
        </w:rPr>
        <w:t xml:space="preserve">Take profit target is set immediately upon entry</w:t>
      </w:r>
    </w:p>
    <w:p>
      <w:pPr>
        <w:pStyle w:val="ListParagraph"/>
        <w:numPr>
          <w:ilvl w:val="0"/>
          <w:numId w:val="2"/>
        </w:numPr>
        <w:spacing w:before="60" w:after="60"/>
      </w:pPr>
      <w:r>
        <w:rPr>
          <w:rFonts w:ascii="Arial" w:cs="Arial" w:eastAsia="Arial" w:hAnsi="Arial"/>
          <w:sz w:val="22"/>
          <w:szCs w:val="22"/>
        </w:rPr>
        <w:t xml:space="preserve">Position size is calculated precisely from each strategy's risk per trade parameter, never rounded up</w:t>
      </w:r>
    </w:p>
    <w:p>
      <w:pPr>
        <w:pStyle w:val="ListParagraph"/>
        <w:numPr>
          <w:ilvl w:val="0"/>
          <w:numId w:val="2"/>
        </w:numPr>
        <w:spacing w:before="60" w:after="60"/>
      </w:pPr>
      <w:r>
        <w:rPr>
          <w:rFonts w:ascii="Arial" w:cs="Arial" w:eastAsia="Arial" w:hAnsi="Arial"/>
          <w:sz w:val="22"/>
          <w:szCs w:val="22"/>
        </w:rPr>
        <w:t xml:space="preserve">Each strategy's trades are tagged with a strategy ID in the log for clean per-strategy performance attribution</w:t>
      </w:r>
    </w:p>
    <w:p>
      <w:pPr>
        <w:pStyle w:val="ListParagraph"/>
        <w:numPr>
          <w:ilvl w:val="0"/>
          <w:numId w:val="2"/>
        </w:numPr>
        <w:spacing w:before="60" w:after="60"/>
      </w:pPr>
      <w:r>
        <w:rPr>
          <w:rFonts w:ascii="Arial" w:cs="Arial" w:eastAsia="Arial" w:hAnsi="Arial"/>
          <w:sz w:val="22"/>
          <w:szCs w:val="22"/>
        </w:rPr>
        <w:t xml:space="preserve">Partial exits are permitted if a strategy defines scaling out rules</w:t>
      </w:r>
    </w:p>
    <w:p>
      <w:pPr>
        <w:spacing w:before="80" w:after="0"/>
      </w:pPr>
    </w:p>
    <w:p>
      <w:pPr>
        <w:pStyle w:val="Heading3"/>
        <w:spacing w:before="200" w:after="100"/>
      </w:pPr>
      <w:r>
        <w:rPr>
          <w:rFonts w:ascii="Arial" w:cs="Arial" w:eastAsia="Arial" w:hAnsi="Arial"/>
          <w:b/>
          <w:bCs/>
          <w:color w:val="1F5C99"/>
          <w:sz w:val="24"/>
          <w:szCs w:val="24"/>
        </w:rPr>
        <w:t xml:space="preserve">Risk Management During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Combined Daily Hard Stop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total account drop across all strategies in one day — halts all three immediately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Per-Strategy Daily Pause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single-strategy daily loss — pauses that strategy only, others continue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Weekly Combined Limit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combined weekly drawdown — reduces position sizes by 50% across all strategies for the week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Strategy Invalidation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market regime shifts dramatically for one strategy's asset class, pause that strategy and flag for Coach review</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Broker API Failure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 lost — close all positions across all strategies if possible, then halt</w:t>
            </w:r>
          </w:p>
        </w:tc>
      </w:tr>
    </w:tbl>
    <w:p>
      <w:pPr>
        <w:spacing w:before="80" w:after="0"/>
      </w:pPr>
    </w:p>
    <w:p>
      <w:pPr>
        <w:pStyle w:val="Heading3"/>
        <w:spacing w:before="200" w:after="100"/>
      </w:pPr>
      <w:r>
        <w:rPr>
          <w:rFonts w:ascii="Arial" w:cs="Arial" w:eastAsia="Arial" w:hAnsi="Arial"/>
          <w:b/>
          <w:bCs/>
          <w:color w:val="1F5C99"/>
          <w:sz w:val="24"/>
          <w:szCs w:val="24"/>
        </w:rPr>
        <w:t xml:space="preserve">Supported Broker Integration</w:t>
      </w:r>
    </w:p>
    <w:p>
      <w:pPr>
        <w:pStyle w:val="ListParagraph"/>
        <w:numPr>
          <w:ilvl w:val="0"/>
          <w:numId w:val="2"/>
        </w:numPr>
        <w:spacing w:before="60" w:after="60"/>
      </w:pPr>
      <w:r>
        <w:rPr>
          <w:rFonts w:ascii="Arial" w:cs="Arial" w:eastAsia="Arial" w:hAnsi="Arial"/>
          <w:sz w:val="22"/>
          <w:szCs w:val="22"/>
        </w:rPr>
        <w:t xml:space="preserve">Alpaca Markets — paper and live trading via REST API (recommended for development)</w:t>
      </w:r>
    </w:p>
    <w:p>
      <w:pPr>
        <w:pStyle w:val="ListParagraph"/>
        <w:numPr>
          <w:ilvl w:val="0"/>
          <w:numId w:val="2"/>
        </w:numPr>
        <w:spacing w:before="60" w:after="60"/>
      </w:pPr>
      <w:r>
        <w:rPr>
          <w:rFonts w:ascii="Arial" w:cs="Arial" w:eastAsia="Arial" w:hAnsi="Arial"/>
          <w:sz w:val="22"/>
          <w:szCs w:val="22"/>
        </w:rPr>
        <w:t xml:space="preserve">Interactive Brokers — via IBKR API for professional deployments</w:t>
      </w:r>
    </w:p>
    <w:p>
      <w:pPr>
        <w:pStyle w:val="ListParagraph"/>
        <w:numPr>
          <w:ilvl w:val="0"/>
          <w:numId w:val="2"/>
        </w:numPr>
        <w:spacing w:before="60" w:after="60"/>
      </w:pPr>
      <w:r>
        <w:rPr>
          <w:rFonts w:ascii="Arial" w:cs="Arial" w:eastAsia="Arial" w:hAnsi="Arial"/>
          <w:sz w:val="22"/>
          <w:szCs w:val="22"/>
        </w:rPr>
        <w:t xml:space="preserve">Extensible to any broker with a REST or WebSocket API</w:t>
      </w:r>
    </w:p>
    <w:p>
      <w:pPr>
        <w:spacing w:before="100" w:after="0"/>
      </w:pPr>
    </w:p>
    <w:p>
      <w:pPr>
        <w:pStyle w:val="Heading2"/>
        <w:spacing w:before="280" w:after="140"/>
      </w:pPr>
      <w:r>
        <w:rPr>
          <w:rFonts w:ascii="Arial" w:cs="Arial" w:eastAsia="Arial" w:hAnsi="Arial"/>
          <w:b/>
          <w:bCs/>
          <w:color w:val="2E75B6"/>
          <w:sz w:val="28"/>
          <w:szCs w:val="28"/>
        </w:rPr>
        <w:t xml:space="preserve">Inputs Received</w:t>
      </w:r>
    </w:p>
    <w:p>
      <w:pPr>
        <w:pStyle w:val="ListParagraph"/>
        <w:numPr>
          <w:ilvl w:val="0"/>
          <w:numId w:val="2"/>
        </w:numPr>
        <w:spacing w:before="60" w:after="60"/>
      </w:pPr>
      <w:r>
        <w:rPr>
          <w:rFonts w:ascii="Arial" w:cs="Arial" w:eastAsia="Arial" w:hAnsi="Arial"/>
          <w:sz w:val="22"/>
          <w:szCs w:val="22"/>
        </w:rPr>
        <w:t xml:space="preserve">Top 3 strategy JSONs from the Backtester with full performance metrics and matrix classifications</w:t>
      </w:r>
    </w:p>
    <w:p>
      <w:pPr>
        <w:pStyle w:val="ListParagraph"/>
        <w:numPr>
          <w:ilvl w:val="0"/>
          <w:numId w:val="2"/>
        </w:numPr>
        <w:spacing w:before="60" w:after="60"/>
      </w:pPr>
      <w:r>
        <w:rPr>
          <w:rFonts w:ascii="Arial" w:cs="Arial" w:eastAsia="Arial" w:hAnsi="Arial"/>
          <w:sz w:val="22"/>
          <w:szCs w:val="22"/>
        </w:rPr>
        <w:t xml:space="preserve">Real-time market data feed (price, volume, indicators) for all active strategy assets</w:t>
      </w:r>
    </w:p>
    <w:p>
      <w:pPr>
        <w:pStyle w:val="ListParagraph"/>
        <w:numPr>
          <w:ilvl w:val="0"/>
          <w:numId w:val="2"/>
        </w:numPr>
        <w:spacing w:before="60" w:after="60"/>
      </w:pPr>
      <w:r>
        <w:rPr>
          <w:rFonts w:ascii="Arial" w:cs="Arial" w:eastAsia="Arial" w:hAnsi="Arial"/>
          <w:sz w:val="22"/>
          <w:szCs w:val="22"/>
        </w:rPr>
        <w:t xml:space="preserve">Per-strategy risk adjustment instructions from the Trading Coach</w:t>
      </w:r>
    </w:p>
    <w:p>
      <w:pPr>
        <w:spacing w:before="80" w:after="0"/>
      </w:pPr>
    </w:p>
    <w:p>
      <w:pPr>
        <w:pStyle w:val="Heading2"/>
        <w:spacing w:before="280" w:after="140"/>
      </w:pPr>
      <w:r>
        <w:rPr>
          <w:rFonts w:ascii="Arial" w:cs="Arial" w:eastAsia="Arial" w:hAnsi="Arial"/>
          <w:b/>
          <w:bCs/>
          <w:color w:val="2E75B6"/>
          <w:sz w:val="28"/>
          <w:szCs w:val="28"/>
        </w:rPr>
        <w:t xml:space="preserve">Outputs Produced</w:t>
      </w:r>
    </w:p>
    <w:p>
      <w:pPr>
        <w:pStyle w:val="ListParagraph"/>
        <w:numPr>
          <w:ilvl w:val="0"/>
          <w:numId w:val="2"/>
        </w:numPr>
        <w:spacing w:before="60" w:after="60"/>
      </w:pPr>
      <w:r>
        <w:rPr>
          <w:rFonts w:ascii="Arial" w:cs="Arial" w:eastAsia="Arial" w:hAnsi="Arial"/>
          <w:sz w:val="22"/>
          <w:szCs w:val="22"/>
        </w:rPr>
        <w:t xml:space="preserve">Complete per-strategy trade log with full entry/exit details for every trade</w:t>
      </w:r>
    </w:p>
    <w:p>
      <w:pPr>
        <w:pStyle w:val="ListParagraph"/>
        <w:numPr>
          <w:ilvl w:val="0"/>
          <w:numId w:val="2"/>
        </w:numPr>
        <w:spacing w:before="60" w:after="60"/>
      </w:pPr>
      <w:r>
        <w:rPr>
          <w:rFonts w:ascii="Arial" w:cs="Arial" w:eastAsia="Arial" w:hAnsi="Arial"/>
          <w:sz w:val="22"/>
          <w:szCs w:val="22"/>
        </w:rPr>
        <w:t xml:space="preserve">Daily P&amp;L summary broken down by strategy</w:t>
      </w:r>
    </w:p>
    <w:p>
      <w:pPr>
        <w:pStyle w:val="ListParagraph"/>
        <w:numPr>
          <w:ilvl w:val="0"/>
          <w:numId w:val="2"/>
        </w:numPr>
        <w:spacing w:before="60" w:after="60"/>
      </w:pPr>
      <w:r>
        <w:rPr>
          <w:rFonts w:ascii="Arial" w:cs="Arial" w:eastAsia="Arial" w:hAnsi="Arial"/>
          <w:sz w:val="22"/>
          <w:szCs w:val="22"/>
        </w:rPr>
        <w:t xml:space="preserve">Weekly performance report per strategy delivered to the Trading Coach</w:t>
      </w:r>
    </w:p>
    <w:p>
      <w:pPr>
        <w:pStyle w:val="ListParagraph"/>
        <w:numPr>
          <w:ilvl w:val="0"/>
          <w:numId w:val="2"/>
        </w:numPr>
        <w:spacing w:before="60" w:after="60"/>
      </w:pPr>
      <w:r>
        <w:rPr>
          <w:rFonts w:ascii="Arial" w:cs="Arial" w:eastAsia="Arial" w:hAnsi="Arial"/>
          <w:sz w:val="22"/>
          <w:szCs w:val="22"/>
        </w:rPr>
        <w:t xml:space="preserve">Combined account exposure report showing total risk across all 3 strategies</w:t>
      </w:r>
    </w:p>
    <w:p>
      <w:pPr>
        <w:pStyle w:val="ListParagraph"/>
        <w:numPr>
          <w:ilvl w:val="0"/>
          <w:numId w:val="2"/>
        </w:numPr>
        <w:spacing w:before="60" w:after="60"/>
      </w:pPr>
      <w:r>
        <w:rPr>
          <w:rFonts w:ascii="Arial" w:cs="Arial" w:eastAsia="Arial" w:hAnsi="Arial"/>
          <w:sz w:val="22"/>
          <w:szCs w:val="22"/>
        </w:rPr>
        <w:t xml:space="preserve">Anomaly alerts per strategy for human review when conditions warrant</w:t>
      </w:r>
    </w:p>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0A2342" w:val="clear"/>
            <w:tcMar>
              <w:top w:type="dxa" w:w="160"/>
              <w:left w:type="dxa" w:w="200"/>
              <w:bottom w:type="dxa" w:w="160"/>
              <w:right w:type="dxa" w:w="200"/>
            </w:tcMar>
          </w:tcPr>
          <w:p>
            <w:r>
              <w:rPr>
                <w:rFonts w:ascii="Arial" w:cs="Arial" w:eastAsia="Arial" w:hAnsi="Arial"/>
                <w:b/>
                <w:bCs/>
                <w:color w:val="FFFFFF"/>
                <w:sz w:val="32"/>
                <w:szCs w:val="32"/>
              </w:rPr>
              <w:t xml:space="preserve">AGENT 4: TRADING COACH</w:t>
            </w:r>
          </w:p>
          <w:p>
            <w:r>
              <w:rPr>
                <w:rFonts w:ascii="Arial" w:cs="Arial" w:eastAsia="Arial" w:hAnsi="Arial"/>
                <w:i/>
                <w:iCs/>
                <w:color w:val="E0E8F0"/>
                <w:sz w:val="22"/>
                <w:szCs w:val="22"/>
              </w:rPr>
              <w:t xml:space="preserve">Monitors performance, manages risk exposure, and drives continuous improvement</w:t>
            </w:r>
          </w:p>
        </w:tc>
      </w:tr>
    </w:tbl>
    <w:p>
      <w:pPr>
        <w:spacing w:before="160" w:after="0"/>
      </w:pPr>
    </w:p>
    <w:p>
      <w:pPr>
        <w:pStyle w:val="Heading2"/>
        <w:spacing w:before="280" w:after="140"/>
      </w:pPr>
      <w:r>
        <w:rPr>
          <w:rFonts w:ascii="Arial" w:cs="Arial" w:eastAsia="Arial" w:hAnsi="Arial"/>
          <w:b/>
          <w:bCs/>
          <w:color w:val="2E75B6"/>
          <w:sz w:val="28"/>
          <w:szCs w:val="28"/>
        </w:rPr>
        <w:t xml:space="preserve">Role &amp; Purpose</w:t>
      </w:r>
    </w:p>
    <w:p>
      <w:pPr>
        <w:spacing w:before="80" w:after="80"/>
      </w:pPr>
      <w:r>
        <w:rPr>
          <w:rFonts w:ascii="Arial" w:cs="Arial" w:eastAsia="Arial" w:hAnsi="Arial"/>
          <w:sz w:val="22"/>
          <w:szCs w:val="22"/>
        </w:rPr>
        <w:t xml:space="preserve">The Trading Coach is the strategic intelligence layer of the network. While the other agents execute a defined process, the Coach steps back and asks: is this working? It reviews performance across all active strategies on a weekly and monthly basis, identifies what is working and what is not, adjusts risk exposure dynamically, and feeds actionable insights back to the Strategy Builder to improve the next generation of strategies. It is the closest thing to a human fund manager in the system.</w:t>
      </w:r>
    </w:p>
    <w:p>
      <w:pPr>
        <w:spacing w:before="100" w:after="0"/>
      </w:pPr>
    </w:p>
    <w:p>
      <w:pPr>
        <w:pStyle w:val="Heading2"/>
        <w:spacing w:before="280" w:after="140"/>
      </w:pPr>
      <w:r>
        <w:rPr>
          <w:rFonts w:ascii="Arial" w:cs="Arial" w:eastAsia="Arial" w:hAnsi="Arial"/>
          <w:b/>
          <w:bCs/>
          <w:color w:val="2E75B6"/>
          <w:sz w:val="28"/>
          <w:szCs w:val="28"/>
        </w:rPr>
        <w:t xml:space="preserve">Core Responsibilities</w:t>
      </w:r>
    </w:p>
    <w:p>
      <w:pPr>
        <w:pStyle w:val="ListParagraph"/>
        <w:numPr>
          <w:ilvl w:val="0"/>
          <w:numId w:val="2"/>
        </w:numPr>
        <w:spacing w:before="60" w:after="60"/>
      </w:pPr>
      <w:r>
        <w:rPr>
          <w:rFonts w:ascii="Arial" w:cs="Arial" w:eastAsia="Arial" w:hAnsi="Arial"/>
          <w:sz w:val="22"/>
          <w:szCs w:val="22"/>
        </w:rPr>
        <w:t xml:space="preserve">Review weekly and monthly performance across all active trading strategies</w:t>
      </w:r>
    </w:p>
    <w:p>
      <w:pPr>
        <w:pStyle w:val="ListParagraph"/>
        <w:numPr>
          <w:ilvl w:val="0"/>
          <w:numId w:val="2"/>
        </w:numPr>
        <w:spacing w:before="60" w:after="60"/>
      </w:pPr>
      <w:r>
        <w:rPr>
          <w:rFonts w:ascii="Arial" w:cs="Arial" w:eastAsia="Arial" w:hAnsi="Arial"/>
          <w:sz w:val="22"/>
          <w:szCs w:val="22"/>
        </w:rPr>
        <w:t xml:space="preserve">Identify the lowest-performing strategies and implement risk reduction measures</w:t>
      </w:r>
    </w:p>
    <w:p>
      <w:pPr>
        <w:pStyle w:val="ListParagraph"/>
        <w:numPr>
          <w:ilvl w:val="0"/>
          <w:numId w:val="2"/>
        </w:numPr>
        <w:spacing w:before="60" w:after="60"/>
      </w:pPr>
      <w:r>
        <w:rPr>
          <w:rFonts w:ascii="Arial" w:cs="Arial" w:eastAsia="Arial" w:hAnsi="Arial"/>
          <w:sz w:val="22"/>
          <w:szCs w:val="22"/>
        </w:rPr>
        <w:t xml:space="preserve">Identify highest-performing strategies and recommend increased exposure where appropriate</w:t>
      </w:r>
    </w:p>
    <w:p>
      <w:pPr>
        <w:pStyle w:val="ListParagraph"/>
        <w:numPr>
          <w:ilvl w:val="0"/>
          <w:numId w:val="2"/>
        </w:numPr>
        <w:spacing w:before="60" w:after="60"/>
      </w:pPr>
      <w:r>
        <w:rPr>
          <w:rFonts w:ascii="Arial" w:cs="Arial" w:eastAsia="Arial" w:hAnsi="Arial"/>
          <w:sz w:val="22"/>
          <w:szCs w:val="22"/>
        </w:rPr>
        <w:t xml:space="preserve">Produce a structured feedback report for the Strategy Builder each cycle</w:t>
      </w:r>
    </w:p>
    <w:p>
      <w:pPr>
        <w:pStyle w:val="ListParagraph"/>
        <w:numPr>
          <w:ilvl w:val="0"/>
          <w:numId w:val="2"/>
        </w:numPr>
        <w:spacing w:before="60" w:after="60"/>
      </w:pPr>
      <w:r>
        <w:rPr>
          <w:rFonts w:ascii="Arial" w:cs="Arial" w:eastAsia="Arial" w:hAnsi="Arial"/>
          <w:sz w:val="22"/>
          <w:szCs w:val="22"/>
        </w:rPr>
        <w:t xml:space="preserve">Monitor for strategy decay — a previously good strategy losing its edge over time</w:t>
      </w:r>
    </w:p>
    <w:p>
      <w:pPr>
        <w:pStyle w:val="ListParagraph"/>
        <w:numPr>
          <w:ilvl w:val="0"/>
          <w:numId w:val="2"/>
        </w:numPr>
        <w:spacing w:before="60" w:after="60"/>
      </w:pPr>
      <w:r>
        <w:rPr>
          <w:rFonts w:ascii="Arial" w:cs="Arial" w:eastAsia="Arial" w:hAnsi="Arial"/>
          <w:sz w:val="22"/>
          <w:szCs w:val="22"/>
        </w:rPr>
        <w:t xml:space="preserve">Maintain the performance history log used by all other agents</w:t>
      </w:r>
    </w:p>
    <w:p>
      <w:pPr>
        <w:pStyle w:val="ListParagraph"/>
        <w:numPr>
          <w:ilvl w:val="0"/>
          <w:numId w:val="2"/>
        </w:numPr>
        <w:spacing w:before="60" w:after="60"/>
      </w:pPr>
      <w:r>
        <w:rPr>
          <w:rFonts w:ascii="Arial" w:cs="Arial" w:eastAsia="Arial" w:hAnsi="Arial"/>
          <w:sz w:val="22"/>
          <w:szCs w:val="22"/>
        </w:rPr>
        <w:t xml:space="preserve">Flag strategies for retirement when they no longer meet performance thresholds</w:t>
      </w:r>
    </w:p>
    <w:p>
      <w:pPr>
        <w:spacing w:before="100" w:after="0"/>
      </w:pPr>
    </w:p>
    <w:p>
      <w:pPr>
        <w:pStyle w:val="Heading2"/>
        <w:spacing w:before="280" w:after="140"/>
      </w:pPr>
      <w:r>
        <w:rPr>
          <w:rFonts w:ascii="Arial" w:cs="Arial" w:eastAsia="Arial" w:hAnsi="Arial"/>
          <w:b/>
          <w:bCs/>
          <w:color w:val="2E75B6"/>
          <w:sz w:val="28"/>
          <w:szCs w:val="28"/>
        </w:rPr>
        <w:t xml:space="preserve">Performance Review Framework</w:t>
      </w:r>
    </w:p>
    <w:p>
      <w:pPr>
        <w:pStyle w:val="Heading3"/>
        <w:spacing w:before="200" w:after="100"/>
      </w:pPr>
      <w:r>
        <w:rPr>
          <w:rFonts w:ascii="Arial" w:cs="Arial" w:eastAsia="Arial" w:hAnsi="Arial"/>
          <w:b/>
          <w:bCs/>
          <w:color w:val="1F5C99"/>
          <w:sz w:val="24"/>
          <w:szCs w:val="24"/>
        </w:rPr>
        <w:t xml:space="preserve">Weekly Review</w:t>
      </w:r>
    </w:p>
    <w:p>
      <w:pPr>
        <w:spacing w:before="80" w:after="80"/>
      </w:pPr>
      <w:r>
        <w:rPr>
          <w:rFonts w:ascii="Arial" w:cs="Arial" w:eastAsia="Arial" w:hAnsi="Arial"/>
          <w:sz w:val="22"/>
          <w:szCs w:val="22"/>
        </w:rPr>
        <w:t xml:space="preserve">Every week the Trading Coach evaluates each active strategy across the following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Weekly P&amp;L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Absolute and percentage return for the week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Live Win Rate vs Expected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 win rate this week vs the backtested win rate. Divergence of more than 10 percentage points triggers a review.</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Live EV vs Expected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 EV per trade this week vs the projected EV from the Backtester. If live EV turns negative for the week, flag immediately.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Average R-Multiple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reward relative to risk per trade this week — is the strategy achieving its targeted R:R?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Max Drawdown (Weekly)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Largest peak-to-trough decline this week vs the 95th percentile Monte Carlo estimate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Trade Count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 trade frequency vs expected — divergence may signal market regime change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Execution Quality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Slippage analysis — are live results matching backtest expectations?</w:t>
            </w:r>
          </w:p>
        </w:tc>
      </w:tr>
    </w:tbl>
    <w:p>
      <w:pPr>
        <w:spacing w:before="80" w:after="0"/>
      </w:pPr>
    </w:p>
    <w:p>
      <w:pPr>
        <w:pStyle w:val="Heading3"/>
        <w:spacing w:before="200" w:after="100"/>
      </w:pPr>
      <w:r>
        <w:rPr>
          <w:rFonts w:ascii="Arial" w:cs="Arial" w:eastAsia="Arial" w:hAnsi="Arial"/>
          <w:b/>
          <w:bCs/>
          <w:color w:val="1F5C99"/>
          <w:sz w:val="24"/>
          <w:szCs w:val="24"/>
        </w:rPr>
        <w:t xml:space="preserve">Monthly Review</w:t>
      </w:r>
    </w:p>
    <w:p>
      <w:pPr>
        <w:spacing w:before="80" w:after="80"/>
      </w:pPr>
      <w:r>
        <w:rPr>
          <w:rFonts w:ascii="Arial" w:cs="Arial" w:eastAsia="Arial" w:hAnsi="Arial"/>
          <w:sz w:val="22"/>
          <w:szCs w:val="22"/>
        </w:rPr>
        <w:t xml:space="preserve">Monthly reviews go deeper and drive the major strategic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Monthly P&amp;L vs Projection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return for the month vs the Backtester's projected return benchmark. If below 50% of projection for 2 consecutive months, flag for retirement review.</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Live EV vs Backtested EV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 actual monthly EV per trade against the backtested EV. A sustained gap signals edge decay or changed market conditions.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Sharpe Ratio (Live)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 live Sharpe to backtest Sharpe — significant gap signals strategy decay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Monte Carlo Comparison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updated Monte Carlo on live trade data. If 95th pct drawdown has worsened materially vs backtest estimate, reduce exposure.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Drawdown Analysis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maximum drawdown vs 95th percentile Monte Carlo estimate and prop firm rule thresholds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Strategy Ranking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Rank all active strategies by risk-adjusted monthly EV — drives exposure adjustment decisions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Win Rate Drift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the win rate trending down over time? Consistent decline signals the strategy's edge is eroding.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Regime Analysis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market regime changed? Are strategies still appropriate for current conditions?</w:t>
            </w:r>
          </w:p>
        </w:tc>
      </w:tr>
    </w:tbl>
    <w:p>
      <w:pPr>
        <w:spacing w:before="80" w:after="0"/>
      </w:pPr>
    </w:p>
    <w:p>
      <w:pPr>
        <w:pStyle w:val="Heading3"/>
        <w:spacing w:before="200" w:after="100"/>
      </w:pPr>
      <w:r>
        <w:rPr>
          <w:rFonts w:ascii="Arial" w:cs="Arial" w:eastAsia="Arial" w:hAnsi="Arial"/>
          <w:b/>
          <w:bCs/>
          <w:color w:val="1F5C99"/>
          <w:sz w:val="24"/>
          <w:szCs w:val="24"/>
        </w:rPr>
        <w:t xml:space="preserve">Risk Exposure Adjustment Rules</w:t>
      </w:r>
    </w:p>
    <w:p>
      <w:pPr>
        <w:spacing w:before="80" w:after="80"/>
      </w:pPr>
      <w:r>
        <w:rPr>
          <w:rFonts w:ascii="Arial" w:cs="Arial" w:eastAsia="Arial" w:hAnsi="Arial"/>
          <w:sz w:val="22"/>
          <w:szCs w:val="22"/>
        </w:rPr>
        <w:t xml:space="preserve">The Trading Coach applies the following rules to adjust exposure after each monthly review:</w:t>
      </w:r>
    </w:p>
    <w:p>
      <w:pPr>
        <w:pStyle w:val="ListParagraph"/>
        <w:numPr>
          <w:ilvl w:val="0"/>
          <w:numId w:val="2"/>
        </w:numPr>
        <w:spacing w:before="60" w:after="60"/>
      </w:pPr>
      <w:r>
        <w:rPr>
          <w:rFonts w:ascii="Arial" w:cs="Arial" w:eastAsia="Arial" w:hAnsi="Arial"/>
          <w:sz w:val="22"/>
          <w:szCs w:val="22"/>
        </w:rPr>
        <w:t xml:space="preserve">Bottom 25% of strategies by monthly performance: reduce position sizing by 25%</w:t>
      </w:r>
    </w:p>
    <w:p>
      <w:pPr>
        <w:pStyle w:val="ListParagraph"/>
        <w:numPr>
          <w:ilvl w:val="0"/>
          <w:numId w:val="2"/>
        </w:numPr>
        <w:spacing w:before="60" w:after="60"/>
      </w:pPr>
      <w:r>
        <w:rPr>
          <w:rFonts w:ascii="Arial" w:cs="Arial" w:eastAsia="Arial" w:hAnsi="Arial"/>
          <w:sz w:val="22"/>
          <w:szCs w:val="22"/>
        </w:rPr>
        <w:t xml:space="preserve">Any strategy with monthly drawdown exceeding 15%: reduce position sizing by 50%</w:t>
      </w:r>
    </w:p>
    <w:p>
      <w:pPr>
        <w:pStyle w:val="ListParagraph"/>
        <w:numPr>
          <w:ilvl w:val="0"/>
          <w:numId w:val="2"/>
        </w:numPr>
        <w:spacing w:before="60" w:after="60"/>
      </w:pPr>
      <w:r>
        <w:rPr>
          <w:rFonts w:ascii="Arial" w:cs="Arial" w:eastAsia="Arial" w:hAnsi="Arial"/>
          <w:sz w:val="22"/>
          <w:szCs w:val="22"/>
        </w:rPr>
        <w:t xml:space="preserve">Any strategy with 3 consecutive losing weeks: flag for retirement review</w:t>
      </w:r>
    </w:p>
    <w:p>
      <w:pPr>
        <w:pStyle w:val="ListParagraph"/>
        <w:numPr>
          <w:ilvl w:val="0"/>
          <w:numId w:val="2"/>
        </w:numPr>
        <w:spacing w:before="60" w:after="60"/>
      </w:pPr>
      <w:r>
        <w:rPr>
          <w:rFonts w:ascii="Arial" w:cs="Arial" w:eastAsia="Arial" w:hAnsi="Arial"/>
          <w:sz w:val="22"/>
          <w:szCs w:val="22"/>
        </w:rPr>
        <w:t xml:space="preserve">Top 25% of strategies by monthly performance: increase position sizing by up to 25% (never exceeding max position size limits)</w:t>
      </w:r>
    </w:p>
    <w:p>
      <w:pPr>
        <w:pStyle w:val="ListParagraph"/>
        <w:numPr>
          <w:ilvl w:val="0"/>
          <w:numId w:val="2"/>
        </w:numPr>
        <w:spacing w:before="60" w:after="60"/>
      </w:pPr>
      <w:r>
        <w:rPr>
          <w:rFonts w:ascii="Arial" w:cs="Arial" w:eastAsia="Arial" w:hAnsi="Arial"/>
          <w:sz w:val="22"/>
          <w:szCs w:val="22"/>
        </w:rPr>
        <w:t xml:space="preserve">Exposure increases are gradual — never more than 25% increase per review cycle</w:t>
      </w:r>
    </w:p>
    <w:p>
      <w:pPr>
        <w:pStyle w:val="ListParagraph"/>
        <w:numPr>
          <w:ilvl w:val="0"/>
          <w:numId w:val="2"/>
        </w:numPr>
        <w:spacing w:before="60" w:after="60"/>
      </w:pPr>
      <w:r>
        <w:rPr>
          <w:rFonts w:ascii="Arial" w:cs="Arial" w:eastAsia="Arial" w:hAnsi="Arial"/>
          <w:sz w:val="22"/>
          <w:szCs w:val="22"/>
        </w:rPr>
        <w:t xml:space="preserve">Retired strategies are logged with full post-mortem analysis for Strategy Builder reference</w:t>
      </w:r>
    </w:p>
    <w:p>
      <w:pPr>
        <w:spacing w:before="80" w:after="0"/>
      </w:pPr>
    </w:p>
    <w:p>
      <w:pPr>
        <w:pStyle w:val="Heading3"/>
        <w:spacing w:before="200" w:after="100"/>
      </w:pPr>
      <w:r>
        <w:rPr>
          <w:rFonts w:ascii="Arial" w:cs="Arial" w:eastAsia="Arial" w:hAnsi="Arial"/>
          <w:b/>
          <w:bCs/>
          <w:color w:val="1F5C99"/>
          <w:sz w:val="24"/>
          <w:szCs w:val="24"/>
        </w:rPr>
        <w:t xml:space="preserve">Feedback Report to Strategy Builder</w:t>
      </w:r>
    </w:p>
    <w:p>
      <w:pPr>
        <w:spacing w:before="80" w:after="80"/>
      </w:pPr>
      <w:r>
        <w:rPr>
          <w:rFonts w:ascii="Arial" w:cs="Arial" w:eastAsia="Arial" w:hAnsi="Arial"/>
          <w:sz w:val="22"/>
          <w:szCs w:val="22"/>
        </w:rPr>
        <w:t xml:space="preserve">Each cycle the Trading Coach produces a structured feedback report containing:</w:t>
      </w:r>
    </w:p>
    <w:p>
      <w:pPr>
        <w:pStyle w:val="ListParagraph"/>
        <w:numPr>
          <w:ilvl w:val="0"/>
          <w:numId w:val="2"/>
        </w:numPr>
        <w:spacing w:before="60" w:after="60"/>
      </w:pPr>
      <w:r>
        <w:rPr>
          <w:rFonts w:ascii="Arial" w:cs="Arial" w:eastAsia="Arial" w:hAnsi="Arial"/>
          <w:sz w:val="22"/>
          <w:szCs w:val="22"/>
        </w:rPr>
        <w:t xml:space="preserve">What indicator combinations have performed best in current market conditions</w:t>
      </w:r>
    </w:p>
    <w:p>
      <w:pPr>
        <w:pStyle w:val="ListParagraph"/>
        <w:numPr>
          <w:ilvl w:val="0"/>
          <w:numId w:val="2"/>
        </w:numPr>
        <w:spacing w:before="60" w:after="60"/>
      </w:pPr>
      <w:r>
        <w:rPr>
          <w:rFonts w:ascii="Arial" w:cs="Arial" w:eastAsia="Arial" w:hAnsi="Arial"/>
          <w:sz w:val="22"/>
          <w:szCs w:val="22"/>
        </w:rPr>
        <w:t xml:space="preserve">What risk/reward ratios have produced the best actual outcomes</w:t>
      </w:r>
    </w:p>
    <w:p>
      <w:pPr>
        <w:pStyle w:val="ListParagraph"/>
        <w:numPr>
          <w:ilvl w:val="0"/>
          <w:numId w:val="2"/>
        </w:numPr>
        <w:spacing w:before="60" w:after="60"/>
      </w:pPr>
      <w:r>
        <w:rPr>
          <w:rFonts w:ascii="Arial" w:cs="Arial" w:eastAsia="Arial" w:hAnsi="Arial"/>
          <w:sz w:val="22"/>
          <w:szCs w:val="22"/>
        </w:rPr>
        <w:t xml:space="preserve">What market regimes current strategies are failing in — focus area for new strategies</w:t>
      </w:r>
    </w:p>
    <w:p>
      <w:pPr>
        <w:pStyle w:val="ListParagraph"/>
        <w:numPr>
          <w:ilvl w:val="0"/>
          <w:numId w:val="2"/>
        </w:numPr>
        <w:spacing w:before="60" w:after="60"/>
      </w:pPr>
      <w:r>
        <w:rPr>
          <w:rFonts w:ascii="Arial" w:cs="Arial" w:eastAsia="Arial" w:hAnsi="Arial"/>
          <w:sz w:val="22"/>
          <w:szCs w:val="22"/>
        </w:rPr>
        <w:t xml:space="preserve">Specific hypothesis for the next batch: e.g., 'test mean-reversion in low-volatility conditions'</w:t>
      </w:r>
    </w:p>
    <w:p>
      <w:pPr>
        <w:pStyle w:val="ListParagraph"/>
        <w:numPr>
          <w:ilvl w:val="0"/>
          <w:numId w:val="2"/>
        </w:numPr>
        <w:spacing w:before="60" w:after="60"/>
      </w:pPr>
      <w:r>
        <w:rPr>
          <w:rFonts w:ascii="Arial" w:cs="Arial" w:eastAsia="Arial" w:hAnsi="Arial"/>
          <w:sz w:val="22"/>
          <w:szCs w:val="22"/>
        </w:rPr>
        <w:t xml:space="preserve">List of retired strategy patterns to avoid regenerating</w:t>
      </w:r>
    </w:p>
    <w:p>
      <w:pPr>
        <w:spacing w:before="100" w:after="0"/>
      </w:pPr>
    </w:p>
    <w:p>
      <w:pPr>
        <w:pStyle w:val="Heading2"/>
        <w:spacing w:before="280" w:after="140"/>
      </w:pPr>
      <w:r>
        <w:rPr>
          <w:rFonts w:ascii="Arial" w:cs="Arial" w:eastAsia="Arial" w:hAnsi="Arial"/>
          <w:b/>
          <w:bCs/>
          <w:color w:val="2E75B6"/>
          <w:sz w:val="28"/>
          <w:szCs w:val="28"/>
        </w:rPr>
        <w:t xml:space="preserve">Inputs Received</w:t>
      </w:r>
    </w:p>
    <w:p>
      <w:pPr>
        <w:pStyle w:val="ListParagraph"/>
        <w:numPr>
          <w:ilvl w:val="0"/>
          <w:numId w:val="2"/>
        </w:numPr>
        <w:spacing w:before="60" w:after="60"/>
      </w:pPr>
      <w:r>
        <w:rPr>
          <w:rFonts w:ascii="Arial" w:cs="Arial" w:eastAsia="Arial" w:hAnsi="Arial"/>
          <w:sz w:val="22"/>
          <w:szCs w:val="22"/>
        </w:rPr>
        <w:t xml:space="preserve">Weekly and daily trade logs from the Trader</w:t>
      </w:r>
    </w:p>
    <w:p>
      <w:pPr>
        <w:pStyle w:val="ListParagraph"/>
        <w:numPr>
          <w:ilvl w:val="0"/>
          <w:numId w:val="2"/>
        </w:numPr>
        <w:spacing w:before="60" w:after="60"/>
      </w:pPr>
      <w:r>
        <w:rPr>
          <w:rFonts w:ascii="Arial" w:cs="Arial" w:eastAsia="Arial" w:hAnsi="Arial"/>
          <w:sz w:val="22"/>
          <w:szCs w:val="22"/>
        </w:rPr>
        <w:t xml:space="preserve">Full scorecard history from the Backtester for all previously evaluated strategies</w:t>
      </w:r>
    </w:p>
    <w:p>
      <w:pPr>
        <w:pStyle w:val="ListParagraph"/>
        <w:numPr>
          <w:ilvl w:val="0"/>
          <w:numId w:val="2"/>
        </w:numPr>
        <w:spacing w:before="60" w:after="60"/>
      </w:pPr>
      <w:r>
        <w:rPr>
          <w:rFonts w:ascii="Arial" w:cs="Arial" w:eastAsia="Arial" w:hAnsi="Arial"/>
          <w:sz w:val="22"/>
          <w:szCs w:val="22"/>
        </w:rPr>
        <w:t xml:space="preserve">Current market regime data</w:t>
      </w:r>
    </w:p>
    <w:p>
      <w:pPr>
        <w:spacing w:before="80" w:after="0"/>
      </w:pPr>
    </w:p>
    <w:p>
      <w:pPr>
        <w:pStyle w:val="Heading2"/>
        <w:spacing w:before="280" w:after="140"/>
      </w:pPr>
      <w:r>
        <w:rPr>
          <w:rFonts w:ascii="Arial" w:cs="Arial" w:eastAsia="Arial" w:hAnsi="Arial"/>
          <w:b/>
          <w:bCs/>
          <w:color w:val="2E75B6"/>
          <w:sz w:val="28"/>
          <w:szCs w:val="28"/>
        </w:rPr>
        <w:t xml:space="preserve">Outputs Produced</w:t>
      </w:r>
    </w:p>
    <w:p>
      <w:pPr>
        <w:pStyle w:val="ListParagraph"/>
        <w:numPr>
          <w:ilvl w:val="0"/>
          <w:numId w:val="2"/>
        </w:numPr>
        <w:spacing w:before="60" w:after="60"/>
      </w:pPr>
      <w:r>
        <w:rPr>
          <w:rFonts w:ascii="Arial" w:cs="Arial" w:eastAsia="Arial" w:hAnsi="Arial"/>
          <w:sz w:val="22"/>
          <w:szCs w:val="22"/>
        </w:rPr>
        <w:t xml:space="preserve">Weekly performance dashboard (summary for human review)</w:t>
      </w:r>
    </w:p>
    <w:p>
      <w:pPr>
        <w:pStyle w:val="ListParagraph"/>
        <w:numPr>
          <w:ilvl w:val="0"/>
          <w:numId w:val="2"/>
        </w:numPr>
        <w:spacing w:before="60" w:after="60"/>
      </w:pPr>
      <w:r>
        <w:rPr>
          <w:rFonts w:ascii="Arial" w:cs="Arial" w:eastAsia="Arial" w:hAnsi="Arial"/>
          <w:sz w:val="22"/>
          <w:szCs w:val="22"/>
        </w:rPr>
        <w:t xml:space="preserve">Monthly strategic review report with risk adjustment recommendations</w:t>
      </w:r>
    </w:p>
    <w:p>
      <w:pPr>
        <w:pStyle w:val="ListParagraph"/>
        <w:numPr>
          <w:ilvl w:val="0"/>
          <w:numId w:val="2"/>
        </w:numPr>
        <w:spacing w:before="60" w:after="60"/>
      </w:pPr>
      <w:r>
        <w:rPr>
          <w:rFonts w:ascii="Arial" w:cs="Arial" w:eastAsia="Arial" w:hAnsi="Arial"/>
          <w:sz w:val="22"/>
          <w:szCs w:val="22"/>
        </w:rPr>
        <w:t xml:space="preserve">Structured feedback report delivered to Strategy Builder each cycle</w:t>
      </w:r>
    </w:p>
    <w:p>
      <w:pPr>
        <w:pStyle w:val="ListParagraph"/>
        <w:numPr>
          <w:ilvl w:val="0"/>
          <w:numId w:val="2"/>
        </w:numPr>
        <w:spacing w:before="60" w:after="60"/>
      </w:pPr>
      <w:r>
        <w:rPr>
          <w:rFonts w:ascii="Arial" w:cs="Arial" w:eastAsia="Arial" w:hAnsi="Arial"/>
          <w:sz w:val="22"/>
          <w:szCs w:val="22"/>
        </w:rPr>
        <w:t xml:space="preserve">Retirement notices for underperforming strategies</w:t>
      </w:r>
    </w:p>
    <w:p>
      <w:pPr>
        <w:pStyle w:val="ListParagraph"/>
        <w:numPr>
          <w:ilvl w:val="0"/>
          <w:numId w:val="2"/>
        </w:numPr>
        <w:spacing w:before="60" w:after="60"/>
      </w:pPr>
      <w:r>
        <w:rPr>
          <w:rFonts w:ascii="Arial" w:cs="Arial" w:eastAsia="Arial" w:hAnsi="Arial"/>
          <w:sz w:val="22"/>
          <w:szCs w:val="22"/>
        </w:rPr>
        <w:t xml:space="preserve">Risk adjustment instructions delivered to the Trader</w:t>
      </w:r>
    </w:p>
    <w:p>
      <w:pPr>
        <w:spacing w:before="200" w:after="0"/>
      </w:pPr>
    </w:p>
    <w:p>
      <w:r>
        <w:br w:type="page"/>
      </w:r>
    </w:p>
    <w:p>
      <w:pPr>
        <w:pStyle w:val="Heading1"/>
        <w:spacing w:before="360" w:after="180"/>
      </w:pPr>
      <w:r>
        <w:rPr>
          <w:rFonts w:ascii="Arial" w:cs="Arial" w:eastAsia="Arial" w:hAnsi="Arial"/>
          <w:b/>
          <w:bCs/>
          <w:color w:val="1B4F8A"/>
          <w:sz w:val="36"/>
          <w:szCs w:val="36"/>
        </w:rPr>
        <w:t xml:space="preserve">Strategy Health Scoring Framework</w:t>
      </w:r>
    </w:p>
    <w:p>
      <w:pPr>
        <w:spacing w:before="80" w:after="80"/>
      </w:pPr>
      <w:r>
        <w:rPr>
          <w:rFonts w:ascii="Arial" w:cs="Arial" w:eastAsia="Arial" w:hAnsi="Arial"/>
          <w:sz w:val="22"/>
          <w:szCs w:val="22"/>
        </w:rPr>
        <w:t xml:space="preserve">This section defines the complete framework for classifying whether a trading strategy is good, marginal, or poor. It is used by both the Backtester (to select winning strategies) and the Trading Coach (to monitor live strategies and decide when to retire them). All metrics derive from the Expected Value, Monte Carlo Drawdown, and Return Projection logic built into the system.</w:t>
      </w:r>
    </w:p>
    <w:p>
      <w:pPr>
        <w:spacing w:before="120" w:after="0"/>
      </w:pPr>
    </w:p>
    <w:p>
      <w:pPr>
        <w:pStyle w:val="Heading2"/>
        <w:spacing w:before="280" w:after="140"/>
      </w:pPr>
      <w:r>
        <w:rPr>
          <w:rFonts w:ascii="Arial" w:cs="Arial" w:eastAsia="Arial" w:hAnsi="Arial"/>
          <w:b/>
          <w:bCs/>
          <w:color w:val="2E75B6"/>
          <w:sz w:val="28"/>
          <w:szCs w:val="28"/>
        </w:rPr>
        <w:t xml:space="preserve">The Three Classification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2"/>
                <w:szCs w:val="22"/>
              </w:rPr>
              <w:t xml:space="preserve">Tier</w:t>
            </w:r>
          </w:p>
        </w:tc>
        <w:tc>
          <w:tcPr>
            <w:tcW w:type="dxa" w:w="378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2"/>
                <w:szCs w:val="22"/>
              </w:rPr>
              <w:t xml:space="preserve">Backtester Criteria</w:t>
            </w:r>
          </w:p>
        </w:tc>
        <w:tc>
          <w:tcPr>
            <w:tcW w:type="dxa" w:w="378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2"/>
                <w:szCs w:val="22"/>
              </w:rPr>
              <w:t xml:space="preserve">Trading Coach Live Criteria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763A"/>
                <w:sz w:val="20"/>
                <w:szCs w:val="20"/>
              </w:rPr>
              <w:t xml:space="preserve">GOOD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 &gt; +35% of risk · Profit Factor &gt; 1.8 · 95th pct DD &lt; 7% · Sharpe &gt; 1.0 · Win rate &gt;= 40% · Passes 8% prop rule · Live EV &gt;= 80% of projected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Live EV &gt;= 80% of backtested EV · Win rate within 10 pts of backtest · Monthly return &gt;= 50% of projection · DD within Monte Carlo 95th pct · No consecutive losing weeks &gt; 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8860B"/>
                <w:sz w:val="20"/>
                <w:szCs w:val="20"/>
              </w:rPr>
              <w:t xml:space="preserve">MARGINAL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 between +15-35% · Profit Factor 1.5-1.8 · 95th pct DD 7-12% · Sharpe 0.5-1.0 · Passes 10% prop rule only · Eligible but not preferred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Live EV 50-80% of backtested EV · Win rate drifted 10-15 pts below backtest · Monthly return 25-50% of projection · Exposure reduced 25% · Coach monitoring intensified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POOR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 &lt;= 0 or Profit Factor &lt; 1.5 · 95th pct DD &gt; 12% · Sharpe &lt; 0.5 · Win rate &lt; 35% · Fails prop firm rules · Requires 2% risk to look profitable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Live EV negative for the month · Win rate drifted &gt; 15 pts below backtest · Monthly return &lt; 25% of projection · 3+ consecutive losing weeks · Flagged for retirement</w:t>
            </w:r>
          </w:p>
        </w:tc>
      </w:tr>
    </w:tbl>
    <w:p>
      <w:pPr>
        <w:spacing w:before="160" w:after="0"/>
      </w:pPr>
    </w:p>
    <w:p>
      <w:pPr>
        <w:pStyle w:val="Heading2"/>
        <w:spacing w:before="280" w:after="140"/>
      </w:pPr>
      <w:r>
        <w:rPr>
          <w:rFonts w:ascii="Arial" w:cs="Arial" w:eastAsia="Arial" w:hAnsi="Arial"/>
          <w:b/>
          <w:bCs/>
          <w:color w:val="2E75B6"/>
          <w:sz w:val="28"/>
          <w:szCs w:val="28"/>
        </w:rPr>
        <w:t xml:space="preserve">Expected Value Deep Dive</w:t>
      </w:r>
    </w:p>
    <w:p>
      <w:pPr>
        <w:spacing w:before="80" w:after="80"/>
      </w:pPr>
      <w:r>
        <w:rPr>
          <w:rFonts w:ascii="Arial" w:cs="Arial" w:eastAsia="Arial" w:hAnsi="Arial"/>
          <w:sz w:val="22"/>
          <w:szCs w:val="22"/>
        </w:rPr>
        <w:t xml:space="preserve">EV is the single most important metric for classifying a strategy. A strategy can have a great win rate and still be a losing strategy if the R:R is wrong. Conversely, a strategy with a low win rate can be highly profitable with the right R:R. The table below shows the break-even win rate required at each R:R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0.5R (1:0.5)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win 66.7% of trades to break even. Almost never viable.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1R (1:1)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win 50% to break even. Viable but requires above-average win rate.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1.5R (1:1.5)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win 40% to break even. Good baseline for trend-following strategies.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2R (1:2)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win 33.3% to break even. The preferred minimum R:R for this system.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3R (1:3)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win 25% to break even. Excellent R:R — allows low win rate sniper approaches.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5R (1:5)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win 16.7% to break even. High-conviction setups only.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10R (1:10)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win 9.1% to break even. Very rare entries, very high reward setups.</w:t>
            </w:r>
          </w:p>
        </w:tc>
      </w:tr>
    </w:tbl>
    <w:p>
      <w:pPr>
        <w:spacing w:before="120" w:after="0"/>
      </w:pPr>
    </w:p>
    <w:p>
      <w:pPr>
        <w:pStyle w:val="Heading2"/>
        <w:spacing w:before="280" w:after="140"/>
      </w:pPr>
      <w:r>
        <w:rPr>
          <w:rFonts w:ascii="Arial" w:cs="Arial" w:eastAsia="Arial" w:hAnsi="Arial"/>
          <w:b/>
          <w:bCs/>
          <w:color w:val="2E75B6"/>
          <w:sz w:val="28"/>
          <w:szCs w:val="28"/>
        </w:rPr>
        <w:t xml:space="preserve">Monte Carlo Drawdown Matrix — Visual Reference</w:t>
      </w:r>
    </w:p>
    <w:p>
      <w:pPr>
        <w:spacing w:before="80" w:after="80"/>
      </w:pPr>
      <w:r>
        <w:rPr>
          <w:rFonts w:ascii="Arial" w:cs="Arial" w:eastAsia="Arial" w:hAnsi="Arial"/>
          <w:sz w:val="22"/>
          <w:szCs w:val="22"/>
        </w:rPr>
        <w:t xml:space="preserve">The following six matrices are generated by 800 Monte Carlo simulations (95th percentile) and represent the core visual reference for what a profitable vs unprofitable strategy looks like at different risk levels. Red = Extreme/High Risk, Orange = Elevated, Yellow = Moderate, Green = Acceptable. Use these to immediately classify any strategy's risk profile.</w:t>
      </w:r>
    </w:p>
    <w:p>
      <w:pPr>
        <w:spacing w:before="80" w:after="0"/>
      </w:pPr>
    </w:p>
    <w:p>
      <w:pPr>
        <w:spacing w:before="120" w:after="60"/>
      </w:pPr>
      <w:r>
        <w:rPr>
          <w:rFonts w:ascii="Arial" w:cs="Arial" w:eastAsia="Arial" w:hAnsi="Arial"/>
          <w:b/>
          <w:bCs/>
          <w:color w:val="2E75B6"/>
          <w:sz w:val="24"/>
          <w:szCs w:val="24"/>
        </w:rPr>
        <w:t xml:space="preserve">MAX DRAWDOWN MATRIX — 0.25% Risk · 100 Trades (95th Percentile)</w:t>
      </w:r>
    </w:p>
    <w:p>
      <w:pPr>
        <w:spacing w:before="80" w:after="80"/>
      </w:pPr>
      <w:r>
        <w:rPr>
          <w:rFonts w:ascii="Arial" w:cs="Arial" w:eastAsia="Arial" w:hAnsi="Arial"/>
          <w:sz w:val="22"/>
          <w:szCs w:val="22"/>
        </w:rPr>
        <w:t xml:space="preserve">At 0.25% risk per trade most strategies pass all prop firm rules. This is the safest starting point for new strategy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66"/>
        <w:gridCol w:w="1166"/>
        <w:gridCol w:w="1166"/>
        <w:gridCol w:w="1166"/>
        <w:gridCol w:w="1166"/>
        <w:gridCol w:w="1166"/>
        <w:gridCol w:w="1164"/>
      </w:tblGrid>
      <w:tr>
        <w:tc>
          <w:tcPr>
            <w:tcW w:type="dxa" w:w="1200"/>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Win Rate</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0.5R</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1:1</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1.5R</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1:2</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1:3</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1:5</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1:10</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30%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15.3%</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12.9%</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10.9%</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9.1%</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6.3%</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4.7%</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4.4%</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35%</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13.6%</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10.9%</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8.6%</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6.3%</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4.4%</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3.7%</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3.7%</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40%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12.2%</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9.1%</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6.2%</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4.7%</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3.5%</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3.2%</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3.0%</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45%</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10.9%</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7.3%</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4.9%</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3.4%</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3.0%</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2.7%</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2.7%</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50%</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9.2%</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5.4%</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3.2%</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2.7%</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2.5%</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2.2%</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2.5%</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55%</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7.6%</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3.7%</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2.6%</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2.2%</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2.0%</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2.2%</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2.0%</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60%</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5.7%</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2.7%</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2.1%</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2.0%</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2.0%</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1.7%</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1.7%</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65%</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4.4%</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2.2%</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1.7%</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1.7%</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1.5%</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1.5%</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1.5%</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70%</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3.0%</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1.5%</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1.4%</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1.5%</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1.2%</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1.2%</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1.5%</w:t>
            </w:r>
          </w:p>
        </w:tc>
      </w:tr>
    </w:tbl>
    <w:p>
      <w:pPr>
        <w:spacing w:before="80" w:after="0"/>
      </w:pPr>
    </w:p>
    <w:p>
      <w:pPr>
        <w:spacing w:before="80" w:after="60"/>
      </w:pPr>
      <w:r>
        <w:rPr>
          <w:rFonts w:ascii="Arial" w:cs="Arial" w:eastAsia="Arial" w:hAnsi="Arial"/>
          <w:b/>
          <w:bCs/>
          <w:color w:val="2E75B6"/>
          <w:sz w:val="24"/>
          <w:szCs w:val="24"/>
        </w:rPr>
        <w:t xml:space="preserve">PROP FIRM SAFETY MATRIX — 0.25% Risk · 100 Trades</w:t>
      </w:r>
    </w:p>
    <w:p>
      <w:pPr>
        <w:spacing w:before="80" w:after="80"/>
      </w:pPr>
      <w:r>
        <w:rPr>
          <w:rFonts w:ascii="Arial" w:cs="Arial" w:eastAsia="Arial" w:hAnsi="Arial"/>
          <w:sz w:val="22"/>
          <w:szCs w:val="22"/>
        </w:rPr>
        <w:t xml:space="preserve">At 0.25% risk, many combinations pass all prop firm rules — ideal for initial live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66"/>
        <w:gridCol w:w="1166"/>
        <w:gridCol w:w="1166"/>
        <w:gridCol w:w="1166"/>
        <w:gridCol w:w="1166"/>
        <w:gridCol w:w="1166"/>
        <w:gridCol w:w="1164"/>
      </w:tblGrid>
      <w:tr>
        <w:tc>
          <w:tcPr>
            <w:tcW w:type="dxa" w:w="1200"/>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Win Rate</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0.5R</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1:1</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1.5R</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1:2</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1:3</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1:5</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1:10</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30%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6"/>
                <w:szCs w:val="16"/>
              </w:rPr>
              <w:t xml:space="preserve">✗ 8%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35%</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6"/>
                <w:szCs w:val="16"/>
              </w:rPr>
              <w:t xml:space="preserve">✗ 8%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40%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6"/>
                <w:szCs w:val="16"/>
              </w:rPr>
              <w:t xml:space="preserve">✗ 8%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45%</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50%</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6"/>
                <w:szCs w:val="16"/>
              </w:rPr>
              <w:t xml:space="preserve">✗ 8%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55%</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60%</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65%</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70%</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r>
    </w:tbl>
    <w:p>
      <w:pPr>
        <w:spacing w:before="160" w:after="0"/>
      </w:pPr>
    </w:p>
    <w:p>
      <w:pPr>
        <w:spacing w:before="120" w:after="60"/>
      </w:pPr>
      <w:r>
        <w:rPr>
          <w:rFonts w:ascii="Arial" w:cs="Arial" w:eastAsia="Arial" w:hAnsi="Arial"/>
          <w:b/>
          <w:bCs/>
          <w:color w:val="2E75B6"/>
          <w:sz w:val="24"/>
          <w:szCs w:val="24"/>
        </w:rPr>
        <w:t xml:space="preserve">MAX DRAWDOWN MATRIX — 0.5% Risk · 100 Trades (95th Percentile)</w:t>
      </w:r>
    </w:p>
    <w:p>
      <w:pPr>
        <w:spacing w:before="80" w:after="80"/>
      </w:pPr>
      <w:r>
        <w:rPr>
          <w:rFonts w:ascii="Arial" w:cs="Arial" w:eastAsia="Arial" w:hAnsi="Arial"/>
          <w:sz w:val="22"/>
          <w:szCs w:val="22"/>
        </w:rPr>
        <w:t xml:space="preserve">At 0.5% risk, low win rate strategies begin showing elevated drawdown. Strategies must have at least 1:2 R:R or 50%+ win rate to pass the 8% prop firm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66"/>
        <w:gridCol w:w="1166"/>
        <w:gridCol w:w="1166"/>
        <w:gridCol w:w="1166"/>
        <w:gridCol w:w="1166"/>
        <w:gridCol w:w="1166"/>
        <w:gridCol w:w="1164"/>
      </w:tblGrid>
      <w:tr>
        <w:tc>
          <w:tcPr>
            <w:tcW w:type="dxa" w:w="1200"/>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Win Rate</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0.5R</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1:1</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1.5R</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1:2</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1:3</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1:5</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1:10</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30%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28.4%</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24.1%</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21.3%</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17.1%</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11.8%</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9.1%</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8.2%</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35%</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25.8%</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21.0%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17.2%</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12.8%</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9.6%</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7.3%</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6.8%</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40%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23.5%</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17.4%</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12.3%</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8.7%</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7.2%</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6.3%</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6.3%</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45%</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20.4%</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14.0%</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9.0%</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6.8%</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5.9%</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5.4%</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5.4%</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50%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17.2%</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10.5%</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6.6%</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5.4%</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4.9%</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4.9%</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4.4%</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55%</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14.4%</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6.9%</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5.1%</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4.9%</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3.9%</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3.9%</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3.9%</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60%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12.0%</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5.4%</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4.4%</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3.9%</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3.4%</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3.4%</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3.4%</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65%</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8.7%</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4.0%</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3.4%</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3.5%</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3.0%</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3.0%</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3.0%</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70%</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5.7%</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3.0%</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3.0%</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3.0%</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3.0%</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3.0%</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2.5%</w:t>
            </w:r>
          </w:p>
        </w:tc>
      </w:tr>
    </w:tbl>
    <w:p>
      <w:pPr>
        <w:spacing w:before="80" w:after="0"/>
      </w:pPr>
    </w:p>
    <w:p>
      <w:pPr>
        <w:spacing w:before="80" w:after="60"/>
      </w:pPr>
      <w:r>
        <w:rPr>
          <w:rFonts w:ascii="Arial" w:cs="Arial" w:eastAsia="Arial" w:hAnsi="Arial"/>
          <w:b/>
          <w:bCs/>
          <w:color w:val="2E75B6"/>
          <w:sz w:val="24"/>
          <w:szCs w:val="24"/>
        </w:rPr>
        <w:t xml:space="preserve">PROP FIRM SAFETY MATRIX — 0.5% Risk · 100 Trades</w:t>
      </w:r>
    </w:p>
    <w:p>
      <w:pPr>
        <w:spacing w:before="80" w:after="80"/>
      </w:pPr>
      <w:r>
        <w:rPr>
          <w:rFonts w:ascii="Arial" w:cs="Arial" w:eastAsia="Arial" w:hAnsi="Arial"/>
          <w:sz w:val="22"/>
          <w:szCs w:val="22"/>
        </w:rPr>
        <w:t xml:space="preserve">At 0.5% risk, strategies need stronger R:R or higher win rate to clear prop firm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66"/>
        <w:gridCol w:w="1166"/>
        <w:gridCol w:w="1166"/>
        <w:gridCol w:w="1166"/>
        <w:gridCol w:w="1166"/>
        <w:gridCol w:w="1166"/>
        <w:gridCol w:w="1164"/>
      </w:tblGrid>
      <w:tr>
        <w:tc>
          <w:tcPr>
            <w:tcW w:type="dxa" w:w="1200"/>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Win Rate</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0.5R</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1:1</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1.5R</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1:2</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1:3</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1:5</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1:10</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30%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6"/>
                <w:szCs w:val="16"/>
              </w:rPr>
              <w:t xml:space="preserve">✗ 8% rule</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6"/>
                <w:szCs w:val="16"/>
              </w:rPr>
              <w:t xml:space="preserve">✗ 8% rule</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35%</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6"/>
                <w:szCs w:val="16"/>
              </w:rPr>
              <w:t xml:space="preserve">✗ 8%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40%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6"/>
                <w:szCs w:val="16"/>
              </w:rPr>
              <w:t xml:space="preserve">✗ 8%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45%</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6"/>
                <w:szCs w:val="16"/>
              </w:rPr>
              <w:t xml:space="preserve">✗ 8%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50%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55%</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60%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65%</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6"/>
                <w:szCs w:val="16"/>
              </w:rPr>
              <w:t xml:space="preserve">✗ 8% rule</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70%</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bCs/>
                <w:color w:val="22C55E"/>
                <w:sz w:val="16"/>
                <w:szCs w:val="16"/>
              </w:rPr>
              <w:t xml:space="preserve">✓ All pass</w:t>
            </w:r>
          </w:p>
        </w:tc>
      </w:tr>
    </w:tbl>
    <w:p>
      <w:pPr>
        <w:spacing w:before="160" w:after="0"/>
      </w:pPr>
    </w:p>
    <w:p>
      <w:pPr>
        <w:spacing w:before="120" w:after="60"/>
      </w:pPr>
      <w:r>
        <w:rPr>
          <w:rFonts w:ascii="Arial" w:cs="Arial" w:eastAsia="Arial" w:hAnsi="Arial"/>
          <w:b/>
          <w:bCs/>
          <w:color w:val="2E75B6"/>
          <w:sz w:val="24"/>
          <w:szCs w:val="24"/>
        </w:rPr>
        <w:t xml:space="preserve">MAX DRAWDOWN MATRIX — 1% Risk · 100 Trades (95th Percentile)</w:t>
      </w:r>
    </w:p>
    <w:p>
      <w:pPr>
        <w:spacing w:before="80" w:after="80"/>
      </w:pPr>
      <w:r>
        <w:rPr>
          <w:rFonts w:ascii="Arial" w:cs="Arial" w:eastAsia="Arial" w:hAnsi="Arial"/>
          <w:sz w:val="22"/>
          <w:szCs w:val="22"/>
        </w:rPr>
        <w:t xml:space="preserve">At 1% risk, the drawdown picture becomes significantly more demanding. Only strategies with 45%+ win rate and 1:2+ R:R reliably pass prop firm rules. This is the standard deployment risk level once a strategy has been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66"/>
        <w:gridCol w:w="1166"/>
        <w:gridCol w:w="1166"/>
        <w:gridCol w:w="1166"/>
        <w:gridCol w:w="1166"/>
        <w:gridCol w:w="1166"/>
        <w:gridCol w:w="1164"/>
      </w:tblGrid>
      <w:tr>
        <w:tc>
          <w:tcPr>
            <w:tcW w:type="dxa" w:w="1200"/>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Win Rate</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0.5R</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1:1</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1.5R</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1:2</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1:3</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1:5</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1:10</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30%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49.0%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43.2%</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37.6%</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31.4%</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23.0%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17.5%</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15.7%</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35%</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45.1%</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37.2%</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30.7%</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24.0%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16.6%</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14.2%</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13.1%</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40%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41.7%</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31.3%</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24.1%</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18.5%</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13.2%</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12.2%</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11.4%</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45%</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36.8%</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26.2%</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17.1%</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13.3%</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11.4%</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10.5%</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9.6%</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50%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31.5%</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19.3%</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12.8%</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11.4%</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9.7%</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8.8%</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8.6%</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55%</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27.3%</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14.3%</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10.2%</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8.7%</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8.6%</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7.7%</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7.7%</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60%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22.3%</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10.5%</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7.8%</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7.8%</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6.8%</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6.8%</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6.8%</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65%</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8"/>
                <w:szCs w:val="18"/>
              </w:rPr>
              <w:t xml:space="preserve">16.2%</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7.8%</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6.8%</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6.8%</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5.9%</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5.9%</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5.9%</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bCs/>
                <w:color w:val="AAAAAA"/>
                <w:sz w:val="18"/>
                <w:szCs w:val="18"/>
              </w:rPr>
              <w:t xml:space="preserve">70%</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8"/>
                <w:szCs w:val="18"/>
              </w:rPr>
              <w:t xml:space="preserve">11.4%</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5.9%</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5.9%</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4.9%</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5.0%</w:t>
            </w:r>
          </w:p>
        </w:tc>
        <w:tc>
          <w:tcPr>
            <w:tcW w:type="dxa" w:w="1166"/>
            <w:tcBorders>
              <w:top w:val="single" w:color="CCCCCC" w:sz="1"/>
              <w:left w:val="single" w:color="CCCCCC" w:sz="1"/>
              <w:bottom w:val="single" w:color="CCCCCC" w:sz="1"/>
              <w:right w:val="single" w:color="CCCCCC" w:sz="1"/>
            </w:tcBorders>
            <w:shd w:fill="0C3D1A" w:val="clear"/>
            <w:tcMar>
              <w:top w:type="dxa" w:w="60"/>
              <w:left w:type="dxa" w:w="80"/>
              <w:bottom w:type="dxa" w:w="60"/>
              <w:right w:type="dxa" w:w="80"/>
            </w:tcMar>
          </w:tcPr>
          <w:p>
            <w:r>
              <w:rPr>
                <w:rFonts w:ascii="Arial" w:cs="Arial" w:eastAsia="Arial" w:hAnsi="Arial"/>
                <w:b w:val="false"/>
                <w:bCs w:val="false"/>
                <w:color w:val="22C55E"/>
                <w:sz w:val="18"/>
                <w:szCs w:val="18"/>
              </w:rPr>
              <w:t xml:space="preserve">4.9%</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8"/>
                <w:szCs w:val="18"/>
              </w:rPr>
              <w:t xml:space="preserve">5.9%</w:t>
            </w:r>
          </w:p>
        </w:tc>
      </w:tr>
    </w:tbl>
    <w:p>
      <w:pPr>
        <w:spacing w:before="80" w:after="0"/>
      </w:pPr>
    </w:p>
    <w:p>
      <w:pPr>
        <w:spacing w:before="80" w:after="60"/>
      </w:pPr>
      <w:r>
        <w:rPr>
          <w:rFonts w:ascii="Arial" w:cs="Arial" w:eastAsia="Arial" w:hAnsi="Arial"/>
          <w:b/>
          <w:bCs/>
          <w:color w:val="2E75B6"/>
          <w:sz w:val="24"/>
          <w:szCs w:val="24"/>
        </w:rPr>
        <w:t xml:space="preserve">PROP FIRM SAFETY MATRIX — 1% Risk · 100 Trades</w:t>
      </w:r>
    </w:p>
    <w:p>
      <w:pPr>
        <w:spacing w:before="80" w:after="80"/>
      </w:pPr>
      <w:r>
        <w:rPr>
          <w:rFonts w:ascii="Arial" w:cs="Arial" w:eastAsia="Arial" w:hAnsi="Arial"/>
          <w:sz w:val="22"/>
          <w:szCs w:val="22"/>
        </w:rPr>
        <w:t xml:space="preserve">At 1% risk virtually all strategies fail all prop firm rules — confirming that 1% is a live trading risk level, not a prop firm challenge risk level. Scale down to 0.25% for challenge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66"/>
        <w:gridCol w:w="1166"/>
        <w:gridCol w:w="1166"/>
        <w:gridCol w:w="1166"/>
        <w:gridCol w:w="1166"/>
        <w:gridCol w:w="1166"/>
        <w:gridCol w:w="1164"/>
      </w:tblGrid>
      <w:tr>
        <w:tc>
          <w:tcPr>
            <w:tcW w:type="dxa" w:w="1200"/>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Win Rate</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0.5R</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1:1</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1.5R</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1:2</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1:3</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1:5</w:t>
            </w:r>
          </w:p>
        </w:tc>
        <w:tc>
          <w:tcPr>
            <w:tcW w:type="dxa" w:w="1166"/>
            <w:tcBorders>
              <w:top w:val="single" w:color="1B4F8A" w:sz="1"/>
              <w:left w:val="single" w:color="1B4F8A" w:sz="1"/>
              <w:bottom w:val="single" w:color="1B4F8A" w:sz="1"/>
              <w:right w:val="single" w:color="1B4F8A" w:sz="1"/>
            </w:tcBorders>
            <w:shd w:fill="1B4F8A" w:val="clear"/>
            <w:tcMar>
              <w:top w:type="dxa" w:w="60"/>
              <w:left w:type="dxa" w:w="80"/>
              <w:bottom w:type="dxa" w:w="60"/>
              <w:right w:type="dxa" w:w="80"/>
            </w:tcMar>
          </w:tcPr>
          <w:p>
            <w:r>
              <w:rPr>
                <w:rFonts w:ascii="Arial" w:cs="Arial" w:eastAsia="Arial" w:hAnsi="Arial"/>
                <w:b/>
                <w:bCs/>
                <w:color w:val="FFFFFF"/>
                <w:sz w:val="18"/>
                <w:szCs w:val="18"/>
              </w:rPr>
              <w:t xml:space="preserve">1:10</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30%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35%</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40%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45%</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50%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6"/>
                <w:szCs w:val="16"/>
              </w:rPr>
              <w:t xml:space="preserve">✗ 8% rule</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6"/>
                <w:szCs w:val="16"/>
              </w:rPr>
              <w:t xml:space="preserve">✗ 8% rule</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6"/>
                <w:szCs w:val="16"/>
              </w:rPr>
              <w:t xml:space="preserve">✗ 8% rule</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55%</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6"/>
                <w:szCs w:val="16"/>
              </w:rPr>
              <w:t xml:space="preserve">✗ 8% rule</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6"/>
                <w:szCs w:val="16"/>
              </w:rPr>
              <w:t xml:space="preserve">✗ 8%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60%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2200" w:val="clear"/>
            <w:tcMar>
              <w:top w:type="dxa" w:w="60"/>
              <w:left w:type="dxa" w:w="80"/>
              <w:bottom w:type="dxa" w:w="60"/>
              <w:right w:type="dxa" w:w="80"/>
            </w:tcMar>
          </w:tcPr>
          <w:p>
            <w:r>
              <w:rPr>
                <w:rFonts w:ascii="Arial" w:cs="Arial" w:eastAsia="Arial" w:hAnsi="Arial"/>
                <w:b w:val="false"/>
                <w:bCs w:val="false"/>
                <w:color w:val="F97316"/>
                <w:sz w:val="16"/>
                <w:szCs w:val="16"/>
              </w:rPr>
              <w:t xml:space="preserve">✗ 8%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65%</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r>
      <w:tr>
        <w:tc>
          <w:tcPr>
            <w:tcW w:type="dxa" w:w="1200"/>
            <w:tcBorders>
              <w:top w:val="single" w:color="CCCCCC" w:sz="1"/>
              <w:left w:val="single" w:color="CCCCCC" w:sz="1"/>
              <w:bottom w:val="single" w:color="CCCCCC" w:sz="1"/>
              <w:right w:val="single" w:color="CCCCCC" w:sz="1"/>
            </w:tcBorders>
            <w:shd w:fill="1E2330" w:val="clear"/>
            <w:tcMar>
              <w:top w:type="dxa" w:w="60"/>
              <w:left w:type="dxa" w:w="80"/>
              <w:bottom w:type="dxa" w:w="60"/>
              <w:right w:type="dxa" w:w="80"/>
            </w:tcMar>
          </w:tcPr>
          <w:p>
            <w:r>
              <w:rPr>
                <w:rFonts w:ascii="Arial" w:cs="Arial" w:eastAsia="Arial" w:hAnsi="Arial"/>
                <w:b w:val="false"/>
                <w:bCs w:val="false"/>
                <w:color w:val="AAAAAA"/>
                <w:sz w:val="16"/>
                <w:szCs w:val="16"/>
              </w:rPr>
              <w:t xml:space="preserve">70%</w:t>
            </w:r>
          </w:p>
        </w:tc>
        <w:tc>
          <w:tcPr>
            <w:tcW w:type="dxa" w:w="1166"/>
            <w:tcBorders>
              <w:top w:val="single" w:color="CCCCCC" w:sz="1"/>
              <w:left w:val="single" w:color="CCCCCC" w:sz="1"/>
              <w:bottom w:val="single" w:color="CCCCCC" w:sz="1"/>
              <w:right w:val="single" w:color="CCCCCC" w:sz="1"/>
            </w:tcBorders>
            <w:shd w:fill="3D0C0C" w:val="clear"/>
            <w:tcMar>
              <w:top w:type="dxa" w:w="60"/>
              <w:left w:type="dxa" w:w="80"/>
              <w:bottom w:type="dxa" w:w="60"/>
              <w:right w:type="dxa" w:w="80"/>
            </w:tcMar>
          </w:tcPr>
          <w:p>
            <w:r>
              <w:rPr>
                <w:rFonts w:ascii="Arial" w:cs="Arial" w:eastAsia="Arial" w:hAnsi="Arial"/>
                <w:b w:val="false"/>
                <w:bCs w:val="false"/>
                <w:color w:val="FF6B6B"/>
                <w:sz w:val="16"/>
                <w:szCs w:val="16"/>
              </w:rPr>
              <w:t xml:space="preserve">✗ 10%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c>
          <w:tcPr>
            <w:tcW w:type="dxa" w:w="1166"/>
            <w:tcBorders>
              <w:top w:val="single" w:color="CCCCCC" w:sz="1"/>
              <w:left w:val="single" w:color="CCCCCC" w:sz="1"/>
              <w:bottom w:val="single" w:color="CCCCCC" w:sz="1"/>
              <w:right w:val="single" w:color="CCCCCC" w:sz="1"/>
            </w:tcBorders>
            <w:shd w:fill="3D3200" w:val="clear"/>
            <w:tcMar>
              <w:top w:type="dxa" w:w="60"/>
              <w:left w:type="dxa" w:w="80"/>
              <w:bottom w:type="dxa" w:w="60"/>
              <w:right w:type="dxa" w:w="80"/>
            </w:tcMar>
          </w:tcPr>
          <w:p>
            <w:r>
              <w:rPr>
                <w:rFonts w:ascii="Arial" w:cs="Arial" w:eastAsia="Arial" w:hAnsi="Arial"/>
                <w:b w:val="false"/>
                <w:bCs w:val="false"/>
                <w:color w:val="EAB308"/>
                <w:sz w:val="16"/>
                <w:szCs w:val="16"/>
              </w:rPr>
              <w:t xml:space="preserve">✗ 5% rule</w:t>
            </w:r>
          </w:p>
        </w:tc>
      </w:tr>
    </w:tbl>
    <w:p>
      <w:pPr>
        <w:spacing w:before="120" w:after="0"/>
      </w:pPr>
    </w:p>
    <w:p>
      <w:pPr>
        <w:pStyle w:val="Heading2"/>
        <w:spacing w:before="280" w:after="140"/>
      </w:pPr>
      <w:r>
        <w:rPr>
          <w:rFonts w:ascii="Arial" w:cs="Arial" w:eastAsia="Arial" w:hAnsi="Arial"/>
          <w:b/>
          <w:bCs/>
          <w:color w:val="2E75B6"/>
          <w:sz w:val="28"/>
          <w:szCs w:val="28"/>
        </w:rPr>
        <w:t xml:space="preserve">Reading the Matrices — Key Takeaways</w:t>
      </w:r>
    </w:p>
    <w:p>
      <w:pPr>
        <w:spacing w:before="80" w:after="80"/>
      </w:pPr>
      <w:r>
        <w:rPr>
          <w:rFonts w:ascii="Arial" w:cs="Arial" w:eastAsia="Arial" w:hAnsi="Arial"/>
          <w:sz w:val="22"/>
          <w:szCs w:val="22"/>
        </w:rPr>
        <w:t xml:space="preserve">These six matrices together tell a clear story about what makes a strategy viable:</w:t>
      </w:r>
    </w:p>
    <w:p>
      <w:pPr>
        <w:pStyle w:val="ListParagraph"/>
        <w:numPr>
          <w:ilvl w:val="0"/>
          <w:numId w:val="2"/>
        </w:numPr>
        <w:spacing w:before="60" w:after="60"/>
      </w:pPr>
      <w:r>
        <w:rPr>
          <w:rFonts w:ascii="Arial" w:cs="Arial" w:eastAsia="Arial" w:hAnsi="Arial"/>
          <w:sz w:val="22"/>
          <w:szCs w:val="22"/>
        </w:rPr>
        <w:t xml:space="preserve">At 0.25% risk most strategy combinations are safe — use this risk level exclusively during prop firm challenge phases and initial live validation</w:t>
      </w:r>
    </w:p>
    <w:p>
      <w:pPr>
        <w:pStyle w:val="ListParagraph"/>
        <w:numPr>
          <w:ilvl w:val="0"/>
          <w:numId w:val="2"/>
        </w:numPr>
        <w:spacing w:before="60" w:after="60"/>
      </w:pPr>
      <w:r>
        <w:rPr>
          <w:rFonts w:ascii="Arial" w:cs="Arial" w:eastAsia="Arial" w:hAnsi="Arial"/>
          <w:sz w:val="22"/>
          <w:szCs w:val="22"/>
        </w:rPr>
        <w:t xml:space="preserve">At 0.5% risk you need at minimum 45% win rate and 1:2 R:R to pass the 8% prop firm rule — this is the recommended risk level for early live deployment</w:t>
      </w:r>
    </w:p>
    <w:p>
      <w:pPr>
        <w:pStyle w:val="ListParagraph"/>
        <w:numPr>
          <w:ilvl w:val="0"/>
          <w:numId w:val="2"/>
        </w:numPr>
        <w:spacing w:before="60" w:after="60"/>
      </w:pPr>
      <w:r>
        <w:rPr>
          <w:rFonts w:ascii="Arial" w:cs="Arial" w:eastAsia="Arial" w:hAnsi="Arial"/>
          <w:sz w:val="22"/>
          <w:szCs w:val="22"/>
        </w:rPr>
        <w:t xml:space="preserve">At 1% risk virtually nothing passes prop firm rules — 1% is a mature live trading risk level only, after a strategy has 3+ months of validated performance</w:t>
      </w:r>
    </w:p>
    <w:p>
      <w:pPr>
        <w:pStyle w:val="ListParagraph"/>
        <w:numPr>
          <w:ilvl w:val="0"/>
          <w:numId w:val="2"/>
        </w:numPr>
        <w:spacing w:before="60" w:after="60"/>
      </w:pPr>
      <w:r>
        <w:rPr>
          <w:rFonts w:ascii="Arial" w:cs="Arial" w:eastAsia="Arial" w:hAnsi="Arial"/>
          <w:sz w:val="22"/>
          <w:szCs w:val="22"/>
        </w:rPr>
        <w:t xml:space="preserve">Low R:R strategies (0.5R, 1:1) are dangerous at any risk level unless win rate is extremely high — the Backtester should rarely select these</w:t>
      </w:r>
    </w:p>
    <w:p>
      <w:pPr>
        <w:pStyle w:val="ListParagraph"/>
        <w:numPr>
          <w:ilvl w:val="0"/>
          <w:numId w:val="2"/>
        </w:numPr>
        <w:spacing w:before="60" w:after="60"/>
      </w:pPr>
      <w:r>
        <w:rPr>
          <w:rFonts w:ascii="Arial" w:cs="Arial" w:eastAsia="Arial" w:hAnsi="Arial"/>
          <w:sz w:val="22"/>
          <w:szCs w:val="22"/>
        </w:rPr>
        <w:t xml:space="preserve">High R:R strategies (1:3, 1:5, 1:10) dramatically reduce drawdown even at lower win rates — the Strategy Builder should bias toward higher R:R setups</w:t>
      </w:r>
    </w:p>
    <w:p>
      <w:pPr>
        <w:pStyle w:val="ListParagraph"/>
        <w:numPr>
          <w:ilvl w:val="0"/>
          <w:numId w:val="2"/>
        </w:numPr>
        <w:spacing w:before="60" w:after="60"/>
      </w:pPr>
      <w:r>
        <w:rPr>
          <w:rFonts w:ascii="Arial" w:cs="Arial" w:eastAsia="Arial" w:hAnsi="Arial"/>
          <w:sz w:val="22"/>
          <w:szCs w:val="22"/>
        </w:rPr>
        <w:t xml:space="preserve">The green zone (DD below 5%) is the target for all deployed strategies — anything yellow or above requires risk reduction before deployment</w:t>
      </w:r>
    </w:p>
    <w:p>
      <w:pPr>
        <w:spacing w:before="120" w:after="0"/>
      </w:pPr>
    </w:p>
    <w:p>
      <w:pPr>
        <w:pStyle w:val="Heading2"/>
        <w:spacing w:before="280" w:after="140"/>
      </w:pPr>
      <w:r>
        <w:rPr>
          <w:rFonts w:ascii="Arial" w:cs="Arial" w:eastAsia="Arial" w:hAnsi="Arial"/>
          <w:b/>
          <w:bCs/>
          <w:color w:val="2E75B6"/>
          <w:sz w:val="28"/>
          <w:szCs w:val="28"/>
        </w:rPr>
        <w:t xml:space="preserve">Consecutive Loss Streak Estimation</w:t>
      </w:r>
    </w:p>
    <w:p>
      <w:pPr>
        <w:spacing w:before="80" w:after="80"/>
      </w:pPr>
      <w:r>
        <w:rPr>
          <w:rFonts w:ascii="Arial" w:cs="Arial" w:eastAsia="Arial" w:hAnsi="Arial"/>
          <w:sz w:val="22"/>
          <w:szCs w:val="22"/>
        </w:rPr>
        <w:t xml:space="preserve">One of the most psychologically damaging aspects of any trading strategy is the losing streak. The system estimates the expected maximum consecutive loss streak for each strategy using the formula: log((1 - Loss Rate) x N) / log(1 / Loss Rate) + 2. This is surfaced prominently in the Backtester output and the Trading Coach's weekly report so the Trader can prepare for and withstand streaks without abandoning a strategy prematurely.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45% WR over 100 trades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 max losing streak: ~6 consecutive losses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40% WR over 100 trades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 max losing streak: ~7 consecutive losses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35% WR over 100 trades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 max losing streak: ~8 consecutive losses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Streak at 0.25% risk (6 losses)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account drawdown from streak alone — safe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Streak at 0.5% risk (6 losses)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 account drawdown from streak alone — safe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Streak at 1% risk (6 losses)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~5.85% account drawdown from streak alone — approaching limits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Streak at 2% risk (6 losses)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~11.4% account drawdown from streak alone — breaches 10% prop rule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Key insight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2% risk, a normal 6-loss streak nearly breaches the 10% prop firm rule. This is why 2% is the absolute cap, not a default.</w:t>
            </w:r>
          </w:p>
        </w:tc>
      </w:tr>
    </w:tbl>
    <w:p>
      <w:pPr>
        <w:spacing w:before="120" w:after="0"/>
      </w:pPr>
    </w:p>
    <w:p>
      <w:pPr>
        <w:pStyle w:val="Heading2"/>
        <w:spacing w:before="280" w:after="140"/>
      </w:pPr>
      <w:r>
        <w:rPr>
          <w:rFonts w:ascii="Arial" w:cs="Arial" w:eastAsia="Arial" w:hAnsi="Arial"/>
          <w:b/>
          <w:bCs/>
          <w:color w:val="2E75B6"/>
          <w:sz w:val="28"/>
          <w:szCs w:val="28"/>
        </w:rPr>
        <w:t xml:space="preserve">Compounding Impact on Strategy Selection</w:t>
      </w:r>
    </w:p>
    <w:p>
      <w:pPr>
        <w:spacing w:before="80" w:after="80"/>
      </w:pPr>
      <w:r>
        <w:rPr>
          <w:rFonts w:ascii="Arial" w:cs="Arial" w:eastAsia="Arial" w:hAnsi="Arial"/>
          <w:sz w:val="22"/>
          <w:szCs w:val="22"/>
        </w:rPr>
        <w:t xml:space="preserve">The Backtester projects each strategy's return under three compounding scenarios. These projections inform the Trading Coach's performance benchmarks and the decision of when to increase or decrease exposure to a given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No Compounding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amount is fixed at starting capital. Predictable, linear growth. Safest approach while validating a strategy in live conditions.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Monthly Compounding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amount rebased to current account balance monthly. Accelerates gains in winning periods but also accelerates drawdowns. Recommended once a strategy has 3+ months of live validation.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Per-Trade Compounding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 applied to balance after every single trade. Maximum growth potential but maximum drawdown amplification. Reserved for strategies with strong live track record only.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Coach Rule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strategies start on no-compounding. Monthly compounding is unlocked after 3 months of Good-tier performance. Per-trade compounding requires 6 months of Good-tier performance.</w:t>
            </w:r>
          </w:p>
        </w:tc>
      </w:tr>
    </w:tbl>
    <w:p>
      <w:pPr>
        <w:spacing w:before="200" w:after="0"/>
      </w:pPr>
    </w:p>
    <w:p>
      <w:r>
        <w:br w:type="page"/>
      </w:r>
    </w:p>
    <w:p>
      <w:pPr>
        <w:pStyle w:val="Heading1"/>
        <w:spacing w:before="360" w:after="180"/>
      </w:pPr>
      <w:r>
        <w:rPr>
          <w:rFonts w:ascii="Arial" w:cs="Arial" w:eastAsia="Arial" w:hAnsi="Arial"/>
          <w:b/>
          <w:bCs/>
          <w:color w:val="1B4F8A"/>
          <w:sz w:val="36"/>
          <w:szCs w:val="36"/>
        </w:rPr>
        <w:t xml:space="preserve">Blockchain Data Architecture</w:t>
      </w:r>
    </w:p>
    <w:p>
      <w:pPr>
        <w:spacing w:before="80" w:after="80"/>
      </w:pPr>
      <w:r>
        <w:rPr>
          <w:rFonts w:ascii="Arial" w:cs="Arial" w:eastAsia="Arial" w:hAnsi="Arial"/>
          <w:sz w:val="22"/>
          <w:szCs w:val="22"/>
        </w:rPr>
        <w:t xml:space="preserve">Your existing backtester already demonstrates the correct approach to sourcing on-chain data. This section formalises how that data pipeline integrates into the agent network, which chains are supported, and how data quality is managed.</w:t>
      </w:r>
    </w:p>
    <w:p>
      <w:pPr>
        <w:spacing w:before="120" w:after="0"/>
      </w:pPr>
    </w:p>
    <w:p>
      <w:pPr>
        <w:pStyle w:val="Heading2"/>
        <w:spacing w:before="280" w:after="140"/>
      </w:pPr>
      <w:r>
        <w:rPr>
          <w:rFonts w:ascii="Arial" w:cs="Arial" w:eastAsia="Arial" w:hAnsi="Arial"/>
          <w:b/>
          <w:bCs/>
          <w:color w:val="2E75B6"/>
          <w:sz w:val="28"/>
          <w:szCs w:val="28"/>
        </w:rPr>
        <w:t xml:space="preserve">Why On-Chain Data Over Traditional Sources</w:t>
      </w:r>
    </w:p>
    <w:p>
      <w:pPr>
        <w:spacing w:before="80" w:after="80"/>
      </w:pPr>
      <w:r>
        <w:rPr>
          <w:rFonts w:ascii="Arial" w:cs="Arial" w:eastAsia="Arial" w:hAnsi="Arial"/>
          <w:sz w:val="22"/>
          <w:szCs w:val="22"/>
        </w:rPr>
        <w:t xml:space="preserve">On-chain subgraph data has several advantages over traditional price feeds like Yahoo Finance or CoinGecko for crypto assets. It is built from every individual swap event recorded on the blockchain, which means it can produce highly accurate VWAP (Volume-Weighted Average Price) candles rather than simple last-price snapshots. Large high-volume trades dominate the candle price, and thin-liquidity outlier swaps are automatically suppressed because they carry negligible weight. This produces cleaner, more realistic historical data for backtesting.</w:t>
      </w:r>
    </w:p>
    <w:p>
      <w:pPr>
        <w:spacing w:before="80" w:after="0"/>
      </w:pPr>
    </w:p>
    <w:p>
      <w:pPr>
        <w:pStyle w:val="Heading2"/>
        <w:spacing w:before="280" w:after="140"/>
      </w:pPr>
      <w:r>
        <w:rPr>
          <w:rFonts w:ascii="Arial" w:cs="Arial" w:eastAsia="Arial" w:hAnsi="Arial"/>
          <w:b/>
          <w:bCs/>
          <w:color w:val="2E75B6"/>
          <w:sz w:val="28"/>
          <w:szCs w:val="28"/>
        </w:rPr>
        <w:t xml:space="preserve">Supported Data Sources</w:t>
      </w:r>
    </w:p>
    <w:p>
      <w:pPr>
        <w:pStyle w:val="Heading3"/>
        <w:spacing w:before="200" w:after="100"/>
      </w:pPr>
      <w:r>
        <w:rPr>
          <w:rFonts w:ascii="Arial" w:cs="Arial" w:eastAsia="Arial" w:hAnsi="Arial"/>
          <w:b/>
          <w:bCs/>
          <w:color w:val="1F5C99"/>
          <w:sz w:val="24"/>
          <w:szCs w:val="24"/>
        </w:rPr>
        <w:t xml:space="preserve">Primary: On-Chain Subgraphs (Full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PulseChain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PulseX v1/v2 subgraph — no API key required. Full swap history from genesis block. Best source for PulseChain tokens.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Ethereum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Uniswap v3 via The Graph decentralized network. Requires free API key from thegraph.com/studio/apikeys. Full history available.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Uniswap v3 via The Graph. API key required. Full history from chain launch.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Arbitrum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Uniswap v3 via The Graph. API key required. Full history available.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Polygon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Uniswap v3 via The Graph. API key required. Full history available.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BSC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Uniswap v3 / PancakeSwap via The Graph. API key required.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Avalanche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Uniswap v3 via The Graph. API key required.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Solana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GeckoTerminal OHLCV API — no subgraph available. Approximately 3 months of hourly history. No API key required.</w:t>
            </w:r>
          </w:p>
        </w:tc>
      </w:tr>
    </w:tbl>
    <w:p>
      <w:pPr>
        <w:spacing w:before="80" w:after="0"/>
      </w:pPr>
    </w:p>
    <w:p>
      <w:pPr>
        <w:pStyle w:val="Heading3"/>
        <w:spacing w:before="200" w:after="100"/>
      </w:pPr>
      <w:r>
        <w:rPr>
          <w:rFonts w:ascii="Arial" w:cs="Arial" w:eastAsia="Arial" w:hAnsi="Arial"/>
          <w:b/>
          <w:bCs/>
          <w:color w:val="1F5C99"/>
          <w:sz w:val="24"/>
          <w:szCs w:val="24"/>
        </w:rPr>
        <w:t xml:space="preserve">Fallback: GeckoTerminal OHLCV API</w:t>
      </w:r>
    </w:p>
    <w:p>
      <w:pPr>
        <w:spacing w:before="80" w:after="80"/>
      </w:pPr>
      <w:r>
        <w:rPr>
          <w:rFonts w:ascii="Arial" w:cs="Arial" w:eastAsia="Arial" w:hAnsi="Arial"/>
          <w:sz w:val="22"/>
          <w:szCs w:val="22"/>
        </w:rPr>
        <w:t xml:space="preserve">When a subgraph API key is unavailable or a chain has no subgraph, the system falls back to GeckoTerminal's public OHLCV endpoint. This provides pre-aggregated candle data rather than raw swaps, which means VWAP cannot be applied — thin-liquidity price spikes in the high/low extremes may still appear. GeckoTerminal is limited to approximately 3 months of hourly history, which is insufficient for meaningful multi-year backtesting. Use subgraph data wherever possible.</w:t>
      </w:r>
    </w:p>
    <w:p>
      <w:pPr>
        <w:spacing w:before="80" w:after="0"/>
      </w:pPr>
    </w:p>
    <w:p>
      <w:pPr>
        <w:pStyle w:val="Heading2"/>
        <w:spacing w:before="280" w:after="140"/>
      </w:pPr>
      <w:r>
        <w:rPr>
          <w:rFonts w:ascii="Arial" w:cs="Arial" w:eastAsia="Arial" w:hAnsi="Arial"/>
          <w:b/>
          <w:bCs/>
          <w:color w:val="2E75B6"/>
          <w:sz w:val="28"/>
          <w:szCs w:val="28"/>
        </w:rPr>
        <w:t xml:space="preserve">On the Genesis Block Question</w:t>
      </w:r>
    </w:p>
    <w:p>
      <w:pPr>
        <w:spacing w:before="80" w:after="80"/>
      </w:pPr>
      <w:r>
        <w:rPr>
          <w:rFonts w:ascii="Arial" w:cs="Arial" w:eastAsia="Arial" w:hAnsi="Arial"/>
          <w:sz w:val="22"/>
          <w:szCs w:val="22"/>
        </w:rPr>
        <w:t xml:space="preserve">Sourcing data from a coin's genesis block is technically possible and your backtester already supports it via the subgraph approach — all swaps from the first transaction onward are available. However, using genesis-to-present data for backtesting decisions requires careful judgement:</w:t>
      </w:r>
    </w:p>
    <w:p>
      <w:pPr>
        <w:pStyle w:val="ListParagraph"/>
        <w:numPr>
          <w:ilvl w:val="0"/>
          <w:numId w:val="2"/>
        </w:numPr>
        <w:spacing w:before="60" w:after="60"/>
      </w:pPr>
      <w:r>
        <w:rPr>
          <w:rFonts w:ascii="Arial" w:cs="Arial" w:eastAsia="Arial" w:hAnsi="Arial"/>
          <w:sz w:val="22"/>
          <w:szCs w:val="22"/>
        </w:rPr>
        <w:t xml:space="preserve">Early trading periods (typically the first 1-3 months) have near-zero liquidity. Prices can move dramatically on tiny trades, creating ATH readings and Fibonacci levels that are artifacts of illiquidity rather than genuine market discovery.</w:t>
      </w:r>
    </w:p>
    <w:p>
      <w:pPr>
        <w:pStyle w:val="ListParagraph"/>
        <w:numPr>
          <w:ilvl w:val="0"/>
          <w:numId w:val="2"/>
        </w:numPr>
        <w:spacing w:before="60" w:after="60"/>
      </w:pPr>
      <w:r>
        <w:rPr>
          <w:rFonts w:ascii="Arial" w:cs="Arial" w:eastAsia="Arial" w:hAnsi="Arial"/>
          <w:sz w:val="22"/>
          <w:szCs w:val="22"/>
        </w:rPr>
        <w:t xml:space="preserve">The trading dynamics of a newly launched token bear little resemblance to how it trades once liquidity matures. Strategies trained on early chaos may perform poorly in normal conditions.</w:t>
      </w:r>
    </w:p>
    <w:p>
      <w:pPr>
        <w:pStyle w:val="ListParagraph"/>
        <w:numPr>
          <w:ilvl w:val="0"/>
          <w:numId w:val="2"/>
        </w:numPr>
        <w:spacing w:before="60" w:after="60"/>
      </w:pPr>
      <w:r>
        <w:rPr>
          <w:rFonts w:ascii="Arial" w:cs="Arial" w:eastAsia="Arial" w:hAnsi="Arial"/>
          <w:sz w:val="22"/>
          <w:szCs w:val="22"/>
        </w:rPr>
        <w:t xml:space="preserve">The data quality analyser in your existing backtester already flags this — it detects candles where high/low ratios exceed 5x, which is the signature of thin-liquidity distortion.</w:t>
      </w:r>
    </w:p>
    <w:p>
      <w:pPr>
        <w:pStyle w:val="ListParagraph"/>
        <w:numPr>
          <w:ilvl w:val="0"/>
          <w:numId w:val="2"/>
        </w:numPr>
        <w:spacing w:before="60" w:after="60"/>
      </w:pPr>
      <w:r>
        <w:rPr>
          <w:rFonts w:ascii="Arial" w:cs="Arial" w:eastAsia="Arial" w:hAnsi="Arial"/>
          <w:sz w:val="22"/>
          <w:szCs w:val="22"/>
        </w:rPr>
        <w:t xml:space="preserve">Recommended approach: fetch full history from genesis for completeness and research purposes, but set the backtesting window to begin once minimum liquidity thresholds are met — for example, once 30-day average daily volume exceeds $50,000 USD.</w:t>
      </w:r>
    </w:p>
    <w:p>
      <w:pPr>
        <w:spacing w:before="80" w:after="0"/>
      </w:pPr>
    </w:p>
    <w:p>
      <w:pPr>
        <w:pStyle w:val="Heading2"/>
        <w:spacing w:before="280" w:after="140"/>
      </w:pPr>
      <w:r>
        <w:rPr>
          <w:rFonts w:ascii="Arial" w:cs="Arial" w:eastAsia="Arial" w:hAnsi="Arial"/>
          <w:b/>
          <w:bCs/>
          <w:color w:val="2E75B6"/>
          <w:sz w:val="28"/>
          <w:szCs w:val="28"/>
        </w:rPr>
        <w:t xml:space="preserve">VWAP Candle Construction</w:t>
      </w:r>
    </w:p>
    <w:p>
      <w:pPr>
        <w:spacing w:before="80" w:after="80"/>
      </w:pPr>
      <w:r>
        <w:rPr>
          <w:rFonts w:ascii="Arial" w:cs="Arial" w:eastAsia="Arial" w:hAnsi="Arial"/>
          <w:sz w:val="22"/>
          <w:szCs w:val="22"/>
        </w:rPr>
        <w:t xml:space="preserve">Both the PulseX and Uniswap v3 data paths construct candles using Volume-Weighted Average Price rather than simple last-price. This is the same methodology used in your existing backtester and should be carried forward into the agent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Open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swap's raw price in the time bucket (chronological entry point)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raw swap price seen in the bucket — preserved for sell trigger detection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Lowest raw swap price seen in the bucket — preserved for buy trigger detection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Close (VWAP)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of (price × USD volume) divided by total USD volume — large trades dominate, small outlier swaps are suppressed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Volume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of amountUSD across all swaps in the bucket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Swap Count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individual swaps in the bucket — low counts flag sparse liquidity periods</w:t>
            </w:r>
          </w:p>
        </w:tc>
      </w:tr>
    </w:tbl>
    <w:p>
      <w:pPr>
        <w:spacing w:before="80" w:after="0"/>
      </w:pPr>
    </w:p>
    <w:p>
      <w:pPr>
        <w:pStyle w:val="Heading2"/>
        <w:spacing w:before="280" w:after="140"/>
      </w:pPr>
      <w:r>
        <w:rPr>
          <w:rFonts w:ascii="Arial" w:cs="Arial" w:eastAsia="Arial" w:hAnsi="Arial"/>
          <w:b/>
          <w:bCs/>
          <w:color w:val="2E75B6"/>
          <w:sz w:val="28"/>
          <w:szCs w:val="28"/>
        </w:rPr>
        <w:t xml:space="preserve">Pair Auto-Detection</w:t>
      </w:r>
    </w:p>
    <w:p>
      <w:pPr>
        <w:spacing w:before="80" w:after="80"/>
      </w:pPr>
      <w:r>
        <w:rPr>
          <w:rFonts w:ascii="Arial" w:cs="Arial" w:eastAsia="Arial" w:hAnsi="Arial"/>
          <w:sz w:val="22"/>
          <w:szCs w:val="22"/>
        </w:rPr>
        <w:t xml:space="preserve">Rather than requiring a pair address, the system takes a token contract address and automatically finds the best trading pair. The selection logic mirrors your backtester: prefer stablecoin pairs first (most accurate USD pricing), then wrapped native token pairs, then any other pair ranked by volume or TVL. This means the Backtester always prices strategies in USD terms regardless of what the token's primary pair is.</w:t>
      </w:r>
    </w:p>
    <w:p>
      <w:pPr>
        <w:spacing w:before="80" w:after="0"/>
      </w:pPr>
    </w:p>
    <w:p>
      <w:pPr>
        <w:pStyle w:val="Heading2"/>
        <w:spacing w:before="280" w:after="140"/>
      </w:pPr>
      <w:r>
        <w:rPr>
          <w:rFonts w:ascii="Arial" w:cs="Arial" w:eastAsia="Arial" w:hAnsi="Arial"/>
          <w:b/>
          <w:bCs/>
          <w:color w:val="2E75B6"/>
          <w:sz w:val="28"/>
          <w:szCs w:val="28"/>
        </w:rPr>
        <w:t xml:space="preserve">Data Quality Checks</w:t>
      </w:r>
    </w:p>
    <w:p>
      <w:pPr>
        <w:spacing w:before="80" w:after="80"/>
      </w:pPr>
      <w:r>
        <w:rPr>
          <w:rFonts w:ascii="Arial" w:cs="Arial" w:eastAsia="Arial" w:hAnsi="Arial"/>
          <w:sz w:val="22"/>
          <w:szCs w:val="22"/>
        </w:rPr>
        <w:t xml:space="preserve">Before any strategy is backtested, the data pipeline runs an automated quality analysis — the same checks implemented in your existing backtester:</w:t>
      </w:r>
    </w:p>
    <w:p>
      <w:pPr>
        <w:pStyle w:val="ListParagraph"/>
        <w:numPr>
          <w:ilvl w:val="0"/>
          <w:numId w:val="2"/>
        </w:numPr>
        <w:spacing w:before="60" w:after="60"/>
      </w:pPr>
      <w:r>
        <w:rPr>
          <w:rFonts w:ascii="Arial" w:cs="Arial" w:eastAsia="Arial" w:hAnsi="Arial"/>
          <w:sz w:val="22"/>
          <w:szCs w:val="22"/>
        </w:rPr>
        <w:t xml:space="preserve">Intra-candle high/low ratio check: flags candles where the high is more than 5x the low, indicating thin-liquidity price spikes</w:t>
      </w:r>
    </w:p>
    <w:p>
      <w:pPr>
        <w:pStyle w:val="ListParagraph"/>
        <w:numPr>
          <w:ilvl w:val="0"/>
          <w:numId w:val="2"/>
        </w:numPr>
        <w:spacing w:before="60" w:after="60"/>
      </w:pPr>
      <w:r>
        <w:rPr>
          <w:rFonts w:ascii="Arial" w:cs="Arial" w:eastAsia="Arial" w:hAnsi="Arial"/>
          <w:sz w:val="22"/>
          <w:szCs w:val="22"/>
        </w:rPr>
        <w:t xml:space="preserve">Candle-to-candle VWAP jump check: flags consecutive candles where the close price jumps more than 10x, which can create false ATH readings</w:t>
      </w:r>
    </w:p>
    <w:p>
      <w:pPr>
        <w:pStyle w:val="ListParagraph"/>
        <w:numPr>
          <w:ilvl w:val="0"/>
          <w:numId w:val="2"/>
        </w:numPr>
        <w:spacing w:before="60" w:after="60"/>
      </w:pPr>
      <w:r>
        <w:rPr>
          <w:rFonts w:ascii="Arial" w:cs="Arial" w:eastAsia="Arial" w:hAnsi="Arial"/>
          <w:sz w:val="22"/>
          <w:szCs w:val="22"/>
        </w:rPr>
        <w:t xml:space="preserve">Single-swap candle density: if more than 30% of candles contain only one swap, VWAP provides no smoothing — recommends using a larger time bucket</w:t>
      </w:r>
    </w:p>
    <w:p>
      <w:pPr>
        <w:pStyle w:val="ListParagraph"/>
        <w:numPr>
          <w:ilvl w:val="0"/>
          <w:numId w:val="2"/>
        </w:numPr>
        <w:spacing w:before="60" w:after="60"/>
      </w:pPr>
      <w:r>
        <w:rPr>
          <w:rFonts w:ascii="Arial" w:cs="Arial" w:eastAsia="Arial" w:hAnsi="Arial"/>
          <w:sz w:val="22"/>
          <w:szCs w:val="22"/>
        </w:rPr>
        <w:t xml:space="preserve">Any data quality warning is surfaced to the Trading Coach and logged with the backtest results — strategies run on flagged data are assigned a lower confidence rating</w:t>
      </w:r>
    </w:p>
    <w:p>
      <w:pPr>
        <w:spacing w:before="200" w:after="0"/>
      </w:pPr>
    </w:p>
    <w:p>
      <w:r>
        <w:br w:type="page"/>
      </w:r>
    </w:p>
    <w:p>
      <w:pPr>
        <w:pStyle w:val="Heading1"/>
        <w:spacing w:before="360" w:after="180"/>
      </w:pPr>
      <w:r>
        <w:rPr>
          <w:rFonts w:ascii="Arial" w:cs="Arial" w:eastAsia="Arial" w:hAnsi="Arial"/>
          <w:b/>
          <w:bCs/>
          <w:color w:val="1B4F8A"/>
          <w:sz w:val="36"/>
          <w:szCs w:val="36"/>
        </w:rPr>
        <w:t xml:space="preserve">The Continuous Improvement Loop</w:t>
      </w:r>
    </w:p>
    <w:p>
      <w:pPr>
        <w:spacing w:before="80" w:after="80"/>
      </w:pPr>
      <w:r>
        <w:rPr>
          <w:rFonts w:ascii="Arial" w:cs="Arial" w:eastAsia="Arial" w:hAnsi="Arial"/>
          <w:sz w:val="22"/>
          <w:szCs w:val="22"/>
        </w:rPr>
        <w:t xml:space="preserve">What separates this system from a static trading algorithm is the continuous feedback loop between all four agents. Each cycle, the network learns from its own performance and generates progressively better strategies.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Cycle Duration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1 month per full cycle (can be adjusted to weekly)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Strategy Refresh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batch of 100 strategies generated each cycle by the Builder — top 3 survivors deployed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Performance Anchor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 feedback anchors next cycle's focus to what is working now</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Memory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agents have access to the full history — no repeating known failures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Human Checkpoints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review report is surfaced for human approval before major changes</w:t>
            </w:r>
          </w:p>
        </w:tc>
      </w:tr>
    </w:tbl>
    <w:p>
      <w:pPr>
        <w:spacing w:before="160" w:after="0"/>
      </w:pPr>
    </w:p>
    <w:p>
      <w:pPr>
        <w:pStyle w:val="Heading2"/>
        <w:spacing w:before="280" w:after="140"/>
      </w:pPr>
      <w:r>
        <w:rPr>
          <w:rFonts w:ascii="Arial" w:cs="Arial" w:eastAsia="Arial" w:hAnsi="Arial"/>
          <w:b/>
          <w:bCs/>
          <w:color w:val="2E75B6"/>
          <w:sz w:val="28"/>
          <w:szCs w:val="28"/>
        </w:rPr>
        <w:t xml:space="preserve">Data Flow Between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2800"/>
        <w:gridCol w:w="3160"/>
      </w:tblGrid>
      <w:t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6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31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Data Passed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Builder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candidate strategy JSONs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3 strategy JSONs + full scorecards + matrix classifications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Coach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trade logs + weekly P&amp;L summary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Coach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Builder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 report + performance insights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Coach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adjustment instructions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Coach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scorecard history for all strategies</w:t>
            </w:r>
          </w:p>
        </w:tc>
      </w:tr>
    </w:tbl>
    <w:p>
      <w:pPr>
        <w:spacing w:before="200" w:after="0"/>
      </w:pPr>
    </w:p>
    <w:p>
      <w:r>
        <w:br w:type="page"/>
      </w:r>
    </w:p>
    <w:p>
      <w:pPr>
        <w:pStyle w:val="Heading1"/>
        <w:spacing w:before="360" w:after="180"/>
      </w:pPr>
      <w:r>
        <w:rPr>
          <w:rFonts w:ascii="Arial" w:cs="Arial" w:eastAsia="Arial" w:hAnsi="Arial"/>
          <w:b/>
          <w:bCs/>
          <w:color w:val="1B4F8A"/>
          <w:sz w:val="36"/>
          <w:szCs w:val="36"/>
        </w:rPr>
        <w:t xml:space="preserve">Next Steps: Building the Network</w:t>
      </w:r>
    </w:p>
    <w:p>
      <w:pPr>
        <w:spacing w:before="80" w:after="80"/>
      </w:pPr>
      <w:r>
        <w:rPr>
          <w:rFonts w:ascii="Arial" w:cs="Arial" w:eastAsia="Arial" w:hAnsi="Arial"/>
          <w:sz w:val="22"/>
          <w:szCs w:val="22"/>
        </w:rPr>
        <w:t xml:space="preserve">With the architecture defined, the following build sequence is recommended to bring this system to life inside your existing Claude Code project: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Phase 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Rename and reshape the existing 4 agents to match these roles — update agent names, system prompts, and responsibilities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Phase 2</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 the blockchain data pipeline from your existing backtester into the project — PulseX subgraph, Uniswap v3 via The Graph, and GeckoTerminal fallback. This becomes the shared data layer all agents use.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Phase 3</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the backtesting engine — feed candle data from Phase 2 into the Backtester agent's scoring model, implement hard elimination filters and dynamic risk per trade selection (0.5% to 2% cap)</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Phase 4</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 the Trader to Alpaca paper trading API for simulated live execution with no real money at risk. Implement strategy-specific risk settings with hard safety overrides.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Phase 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the Trading Coach's performance tracking and feedback report generation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Phase 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Wire the feedback loop — Coach output feeds Strategy Builder input each cycle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Phase 7</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the full system in paper trading mode for 30 days before any live capital deployment</w:t>
            </w:r>
          </w:p>
        </w:tc>
      </w:tr>
    </w:tbl>
    <w:p>
      <w:pPr>
        <w:spacing w:before="160" w:after="0"/>
      </w:pPr>
    </w:p>
    <w:p>
      <w:pPr>
        <w:spacing w:before="80" w:after="80"/>
      </w:pPr>
      <w:r>
        <w:rPr>
          <w:rFonts w:ascii="Arial" w:cs="Arial" w:eastAsia="Arial" w:hAnsi="Arial"/>
          <w:sz w:val="22"/>
          <w:szCs w:val="22"/>
        </w:rPr>
        <w:t xml:space="preserve">This document should be placed in your project as ARCHITECTURE.md so Claude Code can reference it when building each component. Each phase can be handed directly to Claude Code as a task, and it will implement the code using this document as the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4F8A"/>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2026-03-02T05:11:14.950Z</dcterms:created>
  <dcterms:modified xsi:type="dcterms:W3CDTF">2026-03-02T05:11:14.952Z</dcterms:modified>
</cp:coreProperties>
</file>

<file path=docProps/custom.xml><?xml version="1.0" encoding="utf-8"?>
<Properties xmlns="http://schemas.openxmlformats.org/officeDocument/2006/custom-properties" xmlns:vt="http://schemas.openxmlformats.org/officeDocument/2006/docPropsVTypes"/>
</file>