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9AB" w:rsidRPr="00DD3C1A" w:rsidRDefault="006C358E" w:rsidP="00DD3C1A">
      <w:pPr>
        <w:shd w:val="clear" w:color="auto" w:fill="F2F2F2" w:themeFill="background1" w:themeFillShade="F2"/>
        <w:rPr>
          <w:b/>
        </w:rPr>
      </w:pPr>
      <w:r w:rsidRPr="00DD3C1A">
        <w:rPr>
          <w:b/>
        </w:rPr>
        <w:t>CSE 5/7320 Artificial Intelligence</w:t>
      </w:r>
    </w:p>
    <w:p w:rsidR="006C358E" w:rsidRDefault="006C358E" w:rsidP="00DD3C1A">
      <w:pPr>
        <w:spacing w:after="0"/>
        <w:rPr>
          <w:rFonts w:cstheme="minorHAnsi"/>
        </w:rPr>
      </w:pPr>
      <w:proofErr w:type="spellStart"/>
      <w:r w:rsidRPr="006C358E">
        <w:rPr>
          <w:rFonts w:cstheme="minorHAnsi"/>
        </w:rPr>
        <w:t>Junkins</w:t>
      </w:r>
      <w:proofErr w:type="spellEnd"/>
      <w:r w:rsidRPr="006C358E">
        <w:rPr>
          <w:rFonts w:cstheme="minorHAnsi"/>
        </w:rPr>
        <w:t xml:space="preserve"> 205, Thu 6:30 pm – 9:20 pm</w:t>
      </w:r>
    </w:p>
    <w:p w:rsidR="00DD3C1A" w:rsidRDefault="00DD3C1A" w:rsidP="00DD3C1A">
      <w:pPr>
        <w:spacing w:after="0"/>
        <w:rPr>
          <w:rFonts w:cstheme="minorHAnsi"/>
        </w:rPr>
      </w:pPr>
      <w:r>
        <w:rPr>
          <w:rFonts w:cstheme="minorHAnsi"/>
        </w:rPr>
        <w:t>Office hours: Thu 5:30pm – 6:30pm (</w:t>
      </w:r>
      <w:proofErr w:type="spellStart"/>
      <w:r>
        <w:rPr>
          <w:rFonts w:cstheme="minorHAnsi"/>
        </w:rPr>
        <w:t>Caruth</w:t>
      </w:r>
      <w:proofErr w:type="spellEnd"/>
      <w:r>
        <w:rPr>
          <w:rFonts w:cstheme="minorHAnsi"/>
        </w:rPr>
        <w:t>, 4</w:t>
      </w:r>
      <w:r w:rsidRPr="00DD3C1A">
        <w:rPr>
          <w:rFonts w:cstheme="minorHAnsi"/>
          <w:vertAlign w:val="superscript"/>
        </w:rPr>
        <w:t>th</w:t>
      </w:r>
      <w:r>
        <w:rPr>
          <w:rFonts w:cstheme="minorHAnsi"/>
        </w:rPr>
        <w:t xml:space="preserve"> floor</w:t>
      </w:r>
      <w:r w:rsidR="00AF48FD">
        <w:rPr>
          <w:rFonts w:cstheme="minorHAnsi"/>
        </w:rPr>
        <w:t>, Room #427</w:t>
      </w:r>
      <w:r>
        <w:rPr>
          <w:rFonts w:cstheme="minorHAnsi"/>
        </w:rPr>
        <w:t>)</w:t>
      </w:r>
    </w:p>
    <w:p w:rsidR="00DD3C1A" w:rsidRDefault="00DD3C1A" w:rsidP="00DD3C1A">
      <w:pPr>
        <w:spacing w:after="0"/>
        <w:rPr>
          <w:rFonts w:cstheme="minorHAnsi"/>
        </w:rPr>
      </w:pPr>
    </w:p>
    <w:p w:rsidR="006C358E" w:rsidRDefault="006C358E" w:rsidP="006C358E">
      <w:pPr>
        <w:pBdr>
          <w:bottom w:val="single" w:sz="4" w:space="1" w:color="auto"/>
        </w:pBdr>
        <w:rPr>
          <w:rFonts w:cstheme="minorHAnsi"/>
        </w:rPr>
      </w:pPr>
      <w:r>
        <w:rPr>
          <w:rFonts w:cstheme="minorHAnsi"/>
        </w:rPr>
        <w:t>Tentative Syllabus</w:t>
      </w:r>
    </w:p>
    <w:tbl>
      <w:tblPr>
        <w:tblW w:w="9580" w:type="dxa"/>
        <w:tblInd w:w="93" w:type="dxa"/>
        <w:tblLook w:val="04A0" w:firstRow="1" w:lastRow="0" w:firstColumn="1" w:lastColumn="0" w:noHBand="0" w:noVBand="1"/>
      </w:tblPr>
      <w:tblGrid>
        <w:gridCol w:w="900"/>
        <w:gridCol w:w="1081"/>
        <w:gridCol w:w="680"/>
        <w:gridCol w:w="6919"/>
      </w:tblGrid>
      <w:tr w:rsidR="00FF1581" w:rsidRPr="00FF1581" w:rsidTr="00FF1581">
        <w:trPr>
          <w:trHeight w:val="255"/>
        </w:trPr>
        <w:tc>
          <w:tcPr>
            <w:tcW w:w="900" w:type="dxa"/>
            <w:tcBorders>
              <w:top w:val="single" w:sz="8" w:space="0" w:color="auto"/>
              <w:left w:val="single" w:sz="8" w:space="0" w:color="auto"/>
              <w:bottom w:val="nil"/>
              <w:right w:val="single" w:sz="4" w:space="0" w:color="auto"/>
            </w:tcBorders>
            <w:shd w:val="clear" w:color="000000" w:fill="F2DCDB"/>
            <w:noWrap/>
            <w:vAlign w:val="bottom"/>
            <w:hideMark/>
          </w:tcPr>
          <w:p w:rsidR="00FF1581" w:rsidRPr="00FF1581" w:rsidRDefault="00FF1581" w:rsidP="00FF1581">
            <w:pPr>
              <w:spacing w:after="0" w:line="240" w:lineRule="auto"/>
              <w:jc w:val="center"/>
              <w:rPr>
                <w:rFonts w:ascii="Cambria" w:eastAsia="Times New Roman" w:hAnsi="Cambria" w:cs="Calibri"/>
                <w:color w:val="963634"/>
                <w:sz w:val="20"/>
                <w:szCs w:val="20"/>
              </w:rPr>
            </w:pPr>
            <w:r w:rsidRPr="00FF1581">
              <w:rPr>
                <w:rFonts w:ascii="Cambria" w:eastAsia="Times New Roman" w:hAnsi="Cambria" w:cs="Calibri"/>
                <w:color w:val="963634"/>
                <w:sz w:val="20"/>
                <w:szCs w:val="20"/>
              </w:rPr>
              <w:t>WEEK #</w:t>
            </w:r>
          </w:p>
        </w:tc>
        <w:tc>
          <w:tcPr>
            <w:tcW w:w="1080" w:type="dxa"/>
            <w:tcBorders>
              <w:top w:val="single" w:sz="8" w:space="0" w:color="auto"/>
              <w:left w:val="nil"/>
              <w:bottom w:val="nil"/>
              <w:right w:val="single" w:sz="4" w:space="0" w:color="auto"/>
            </w:tcBorders>
            <w:shd w:val="clear" w:color="000000" w:fill="F2DCDB"/>
            <w:noWrap/>
            <w:vAlign w:val="center"/>
            <w:hideMark/>
          </w:tcPr>
          <w:p w:rsidR="00FF1581" w:rsidRPr="00FF1581" w:rsidRDefault="00FF1581" w:rsidP="00FF1581">
            <w:pPr>
              <w:spacing w:after="0" w:line="240" w:lineRule="auto"/>
              <w:jc w:val="center"/>
              <w:rPr>
                <w:rFonts w:ascii="Cambria" w:eastAsia="Times New Roman" w:hAnsi="Cambria" w:cs="Calibri"/>
                <w:color w:val="963634"/>
                <w:sz w:val="20"/>
                <w:szCs w:val="20"/>
              </w:rPr>
            </w:pPr>
            <w:r w:rsidRPr="00FF1581">
              <w:rPr>
                <w:rFonts w:ascii="Cambria" w:eastAsia="Times New Roman" w:hAnsi="Cambria" w:cs="Calibri"/>
                <w:color w:val="963634"/>
                <w:sz w:val="20"/>
                <w:szCs w:val="20"/>
              </w:rPr>
              <w:t>DATE</w:t>
            </w:r>
          </w:p>
        </w:tc>
        <w:tc>
          <w:tcPr>
            <w:tcW w:w="680" w:type="dxa"/>
            <w:tcBorders>
              <w:top w:val="single" w:sz="8" w:space="0" w:color="auto"/>
              <w:left w:val="nil"/>
              <w:bottom w:val="nil"/>
              <w:right w:val="single" w:sz="4" w:space="0" w:color="auto"/>
            </w:tcBorders>
            <w:shd w:val="clear" w:color="000000" w:fill="F2DCDB"/>
            <w:noWrap/>
            <w:vAlign w:val="center"/>
            <w:hideMark/>
          </w:tcPr>
          <w:p w:rsidR="00FF1581" w:rsidRPr="00FF1581" w:rsidRDefault="00FF1581" w:rsidP="00FF1581">
            <w:pPr>
              <w:spacing w:after="0" w:line="240" w:lineRule="auto"/>
              <w:jc w:val="center"/>
              <w:rPr>
                <w:rFonts w:ascii="Cambria" w:eastAsia="Times New Roman" w:hAnsi="Cambria" w:cs="Calibri"/>
                <w:color w:val="963634"/>
                <w:sz w:val="20"/>
                <w:szCs w:val="20"/>
              </w:rPr>
            </w:pPr>
            <w:r w:rsidRPr="00FF1581">
              <w:rPr>
                <w:rFonts w:ascii="Cambria" w:eastAsia="Times New Roman" w:hAnsi="Cambria" w:cs="Calibri"/>
                <w:color w:val="963634"/>
                <w:sz w:val="20"/>
                <w:szCs w:val="20"/>
              </w:rPr>
              <w:t>#</w:t>
            </w:r>
          </w:p>
        </w:tc>
        <w:tc>
          <w:tcPr>
            <w:tcW w:w="6920" w:type="dxa"/>
            <w:tcBorders>
              <w:top w:val="single" w:sz="8" w:space="0" w:color="auto"/>
              <w:left w:val="nil"/>
              <w:bottom w:val="nil"/>
              <w:right w:val="single" w:sz="4" w:space="0" w:color="auto"/>
            </w:tcBorders>
            <w:shd w:val="clear" w:color="000000" w:fill="F2DCDB"/>
            <w:vAlign w:val="center"/>
            <w:hideMark/>
          </w:tcPr>
          <w:p w:rsidR="00FF1581" w:rsidRPr="00FF1581" w:rsidRDefault="00FF1581" w:rsidP="00FF1581">
            <w:pPr>
              <w:spacing w:after="0" w:line="240" w:lineRule="auto"/>
              <w:rPr>
                <w:rFonts w:ascii="Cambria" w:eastAsia="Times New Roman" w:hAnsi="Cambria" w:cs="Calibri"/>
                <w:color w:val="963634"/>
                <w:sz w:val="20"/>
                <w:szCs w:val="20"/>
              </w:rPr>
            </w:pPr>
            <w:r w:rsidRPr="00FF1581">
              <w:rPr>
                <w:rFonts w:ascii="Cambria" w:eastAsia="Times New Roman" w:hAnsi="Cambria" w:cs="Calibri"/>
                <w:color w:val="963634"/>
                <w:sz w:val="20"/>
                <w:szCs w:val="20"/>
              </w:rPr>
              <w:t>Lecture</w:t>
            </w:r>
          </w:p>
        </w:tc>
      </w:tr>
      <w:tr w:rsidR="00FF1581" w:rsidRPr="00FF1581" w:rsidTr="0067495B">
        <w:trPr>
          <w:trHeight w:val="323"/>
        </w:trPr>
        <w:tc>
          <w:tcPr>
            <w:tcW w:w="90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w:t>
            </w:r>
          </w:p>
        </w:tc>
        <w:tc>
          <w:tcPr>
            <w:tcW w:w="1080" w:type="dxa"/>
            <w:tcBorders>
              <w:top w:val="single" w:sz="4" w:space="0" w:color="auto"/>
              <w:left w:val="nil"/>
              <w:bottom w:val="single" w:sz="4" w:space="0" w:color="auto"/>
              <w:right w:val="single" w:sz="4" w:space="0" w:color="auto"/>
            </w:tcBorders>
            <w:shd w:val="clear" w:color="auto" w:fill="F2F2F2" w:themeFill="background1" w:themeFillShade="F2"/>
            <w:noWrap/>
            <w:hideMark/>
          </w:tcPr>
          <w:p w:rsidR="00FF1581" w:rsidRPr="00FF1581" w:rsidRDefault="00FF1581" w:rsidP="00F47870">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w:t>
            </w:r>
            <w:r w:rsidR="00F47870">
              <w:rPr>
                <w:rFonts w:ascii="Calibri" w:eastAsia="Times New Roman" w:hAnsi="Calibri" w:cs="Calibri"/>
                <w:color w:val="000000"/>
                <w:sz w:val="20"/>
                <w:szCs w:val="20"/>
              </w:rPr>
              <w:t>22</w:t>
            </w:r>
            <w:r w:rsidRPr="00FF1581">
              <w:rPr>
                <w:rFonts w:ascii="Calibri" w:eastAsia="Times New Roman" w:hAnsi="Calibri" w:cs="Calibri"/>
                <w:color w:val="000000"/>
                <w:sz w:val="20"/>
                <w:szCs w:val="20"/>
              </w:rPr>
              <w:t>/201</w:t>
            </w:r>
            <w:r w:rsidR="00F47870">
              <w:rPr>
                <w:rFonts w:ascii="Calibri" w:eastAsia="Times New Roman" w:hAnsi="Calibri" w:cs="Calibri"/>
                <w:color w:val="000000"/>
                <w:sz w:val="20"/>
                <w:szCs w:val="20"/>
              </w:rPr>
              <w:t>5</w:t>
            </w:r>
          </w:p>
        </w:tc>
        <w:tc>
          <w:tcPr>
            <w:tcW w:w="680" w:type="dxa"/>
            <w:tcBorders>
              <w:top w:val="single" w:sz="4" w:space="0" w:color="auto"/>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0</w:t>
            </w:r>
          </w:p>
        </w:tc>
        <w:tc>
          <w:tcPr>
            <w:tcW w:w="6920" w:type="dxa"/>
            <w:tcBorders>
              <w:top w:val="single" w:sz="4" w:space="0" w:color="auto"/>
              <w:left w:val="nil"/>
              <w:bottom w:val="single" w:sz="4" w:space="0" w:color="auto"/>
              <w:right w:val="single" w:sz="4" w:space="0" w:color="auto"/>
            </w:tcBorders>
            <w:shd w:val="clear" w:color="auto" w:fill="F2F2F2" w:themeFill="background1" w:themeFillShade="F2"/>
            <w:hideMark/>
          </w:tcPr>
          <w:p w:rsidR="00FF1581" w:rsidRPr="00FF1581" w:rsidRDefault="00FF1581" w:rsidP="0067495B">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Introduction. Overvie</w:t>
            </w:r>
            <w:r w:rsidR="0067495B">
              <w:rPr>
                <w:rFonts w:ascii="Maiandra GD" w:eastAsia="Times New Roman" w:hAnsi="Maiandra GD" w:cs="Calibri"/>
                <w:color w:val="000000"/>
                <w:sz w:val="20"/>
                <w:szCs w:val="20"/>
              </w:rPr>
              <w:t>w of class material &amp; schedule.</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67495B">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 xml:space="preserve">AI - Introduction, Foundations, History - Chapter 1; </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1/29/2015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 xml:space="preserve">AI - Introduction, Foundations, History (cont'd) - Chapter 1; </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3</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Default="00FF1581" w:rsidP="00F47870">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 xml:space="preserve">Recursion; </w:t>
            </w:r>
            <w:r w:rsidR="00F47870">
              <w:rPr>
                <w:rFonts w:ascii="Maiandra GD" w:eastAsia="Times New Roman" w:hAnsi="Maiandra GD" w:cs="Calibri"/>
                <w:color w:val="000000"/>
                <w:sz w:val="20"/>
                <w:szCs w:val="20"/>
              </w:rPr>
              <w:t>Functional Programming</w:t>
            </w:r>
            <w:r w:rsidR="00DC3FD6">
              <w:rPr>
                <w:rFonts w:ascii="Maiandra GD" w:eastAsia="Times New Roman" w:hAnsi="Maiandra GD" w:cs="Calibri"/>
                <w:color w:val="000000"/>
                <w:sz w:val="20"/>
                <w:szCs w:val="20"/>
              </w:rPr>
              <w:t xml:space="preserve"> Concepts</w:t>
            </w:r>
            <w:r w:rsidR="003870C1">
              <w:rPr>
                <w:rFonts w:ascii="Maiandra GD" w:eastAsia="Times New Roman" w:hAnsi="Maiandra GD" w:cs="Calibri"/>
                <w:color w:val="000000"/>
                <w:sz w:val="20"/>
                <w:szCs w:val="20"/>
              </w:rPr>
              <w:t xml:space="preserve"> (LISP)</w:t>
            </w:r>
          </w:p>
          <w:p w:rsidR="00DC3FD6" w:rsidRPr="00FF1581" w:rsidRDefault="00DC3FD6" w:rsidP="00F47870">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Lambda Calculus in C#; LINQ, PLINQ</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3</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2/5/2015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4</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DC3FD6" w:rsidP="00F47870">
            <w:pPr>
              <w:spacing w:after="0" w:line="240" w:lineRule="auto"/>
              <w:rPr>
                <w:rFonts w:ascii="Maiandra GD" w:eastAsia="Times New Roman" w:hAnsi="Maiandra GD" w:cs="Calibri"/>
                <w:color w:val="000000"/>
                <w:sz w:val="20"/>
                <w:szCs w:val="20"/>
              </w:rPr>
            </w:pPr>
            <w:r>
              <w:rPr>
                <w:rFonts w:ascii="Maiandra GD" w:eastAsia="Times New Roman" w:hAnsi="Maiandra GD" w:cs="Calibri"/>
                <w:color w:val="000000"/>
                <w:sz w:val="20"/>
                <w:szCs w:val="20"/>
              </w:rPr>
              <w:t xml:space="preserve">A brief introduction to </w:t>
            </w:r>
            <w:r w:rsidR="00F47870">
              <w:rPr>
                <w:rFonts w:ascii="Maiandra GD" w:eastAsia="Times New Roman" w:hAnsi="Maiandra GD" w:cs="Calibri"/>
                <w:color w:val="000000"/>
                <w:sz w:val="20"/>
                <w:szCs w:val="20"/>
              </w:rPr>
              <w:t>F#</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5</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Intelligent Agents (Chapter 2)</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4</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2/12/2015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6</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Solving Problems by Searching - Blind Search (Chapter 3)</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7</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Informed Search (Chapter 4: 4.1, 4.2)</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5</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2/19/2015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8</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Informed Search (Chapter 4: 4.3)</w:t>
            </w:r>
          </w:p>
          <w:p w:rsidR="00FF1581" w:rsidRP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Online Search Agents and Unknow</w:t>
            </w:r>
            <w:r>
              <w:rPr>
                <w:rFonts w:ascii="Maiandra GD" w:eastAsia="Times New Roman" w:hAnsi="Maiandra GD" w:cs="Calibri"/>
                <w:color w:val="000000"/>
                <w:sz w:val="20"/>
                <w:szCs w:val="20"/>
              </w:rPr>
              <w:t>n Environments (Chapter 4: 4.5)</w:t>
            </w:r>
          </w:p>
        </w:tc>
      </w:tr>
      <w:tr w:rsidR="00FF1581" w:rsidRPr="00FF1581" w:rsidTr="0067495B">
        <w:trPr>
          <w:trHeight w:val="330"/>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9</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Special Topic: Genetic Algorithms and Evolutionary Computation</w:t>
            </w:r>
          </w:p>
        </w:tc>
      </w:tr>
      <w:tr w:rsidR="00FF1581" w:rsidRPr="00FF1581" w:rsidTr="0067495B">
        <w:trPr>
          <w:trHeight w:val="30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6</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2/26/2015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10</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B80E6F">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Co</w:t>
            </w:r>
            <w:r w:rsidR="00B80E6F">
              <w:rPr>
                <w:rFonts w:ascii="Maiandra GD" w:eastAsia="Times New Roman" w:hAnsi="Maiandra GD" w:cs="Calibri"/>
                <w:color w:val="000000"/>
                <w:sz w:val="20"/>
                <w:szCs w:val="20"/>
              </w:rPr>
              <w:t xml:space="preserve">nstraint Satisfaction Problems </w:t>
            </w:r>
            <w:r w:rsidRPr="00FF1581">
              <w:rPr>
                <w:rFonts w:ascii="Maiandra GD" w:eastAsia="Times New Roman" w:hAnsi="Maiandra GD" w:cs="Calibri"/>
                <w:color w:val="000000"/>
                <w:sz w:val="20"/>
                <w:szCs w:val="20"/>
              </w:rPr>
              <w:t>(Chapter 5)</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11</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B73274" w:rsidP="00FF1581">
            <w:pPr>
              <w:spacing w:after="0" w:line="240" w:lineRule="auto"/>
              <w:rPr>
                <w:rFonts w:ascii="Maiandra GD" w:eastAsia="Times New Roman" w:hAnsi="Maiandra GD" w:cs="Calibri"/>
                <w:color w:val="000000"/>
                <w:sz w:val="20"/>
                <w:szCs w:val="20"/>
              </w:rPr>
            </w:pPr>
            <w:r>
              <w:rPr>
                <w:rFonts w:ascii="Maiandra GD" w:eastAsia="Times New Roman" w:hAnsi="Maiandra GD" w:cs="Calibri"/>
                <w:color w:val="000000"/>
                <w:sz w:val="20"/>
                <w:szCs w:val="20"/>
              </w:rPr>
              <w:t>Adversarial Search</w:t>
            </w:r>
            <w:r w:rsidR="00FF1581" w:rsidRPr="00FF1581">
              <w:rPr>
                <w:rFonts w:ascii="Maiandra GD" w:eastAsia="Times New Roman" w:hAnsi="Maiandra GD" w:cs="Calibri"/>
                <w:color w:val="000000"/>
                <w:sz w:val="20"/>
                <w:szCs w:val="20"/>
              </w:rPr>
              <w:t xml:space="preserve"> (Chapter 6)</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7</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3/5/2015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12</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Knowledge &amp; Reasoning: Logical Agents (Chapter 7)</w:t>
            </w:r>
          </w:p>
        </w:tc>
      </w:tr>
      <w:tr w:rsidR="00FF1581" w:rsidRPr="00FF1581" w:rsidTr="00616700">
        <w:trPr>
          <w:trHeight w:val="278"/>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13</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616700" w:rsidP="00FF1581">
            <w:pPr>
              <w:spacing w:after="0" w:line="240" w:lineRule="auto"/>
              <w:rPr>
                <w:rFonts w:ascii="Maiandra GD" w:eastAsia="Times New Roman" w:hAnsi="Maiandra GD" w:cs="Calibri"/>
                <w:color w:val="000000"/>
                <w:sz w:val="20"/>
                <w:szCs w:val="20"/>
              </w:rPr>
            </w:pPr>
            <w:r>
              <w:rPr>
                <w:rFonts w:ascii="Maiandra GD" w:eastAsia="Times New Roman" w:hAnsi="Maiandra GD" w:cs="Calibri"/>
                <w:color w:val="000000"/>
                <w:sz w:val="20"/>
                <w:szCs w:val="20"/>
              </w:rPr>
              <w:t xml:space="preserve">Logical Agents </w:t>
            </w:r>
            <w:r w:rsidR="00FF1581" w:rsidRPr="00FF1581">
              <w:rPr>
                <w:rFonts w:ascii="Maiandra GD" w:eastAsia="Times New Roman" w:hAnsi="Maiandra GD" w:cs="Calibri"/>
                <w:color w:val="000000"/>
                <w:sz w:val="20"/>
                <w:szCs w:val="20"/>
              </w:rPr>
              <w:t>(Chapter 7 cont'd); Midterm Review</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8</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3/12/2015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760A70" w:rsidRDefault="00FF1581" w:rsidP="00FF1581">
            <w:pPr>
              <w:spacing w:after="0" w:line="240" w:lineRule="auto"/>
              <w:jc w:val="center"/>
              <w:rPr>
                <w:rFonts w:ascii="Calibri" w:eastAsia="Times New Roman" w:hAnsi="Calibri" w:cs="Calibri"/>
                <w:sz w:val="20"/>
                <w:szCs w:val="20"/>
              </w:rPr>
            </w:pP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760A70" w:rsidRDefault="00760A70" w:rsidP="00FF1581">
            <w:pPr>
              <w:spacing w:after="0" w:line="240" w:lineRule="auto"/>
              <w:rPr>
                <w:rFonts w:ascii="Maiandra GD" w:eastAsia="Times New Roman" w:hAnsi="Maiandra GD" w:cs="Calibri"/>
                <w:sz w:val="20"/>
                <w:szCs w:val="20"/>
              </w:rPr>
            </w:pPr>
            <w:r w:rsidRPr="00FF1581">
              <w:rPr>
                <w:rFonts w:ascii="Maiandra GD" w:eastAsia="Times New Roman" w:hAnsi="Maiandra GD" w:cs="Calibri"/>
                <w:color w:val="7030A0"/>
                <w:sz w:val="20"/>
                <w:szCs w:val="20"/>
              </w:rPr>
              <w:t>SPRING BREAK</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r w:rsidR="00760A70">
              <w:rPr>
                <w:rFonts w:ascii="Calibri" w:eastAsia="Times New Roman" w:hAnsi="Calibri" w:cs="Calibri"/>
                <w:color w:val="000000"/>
                <w:sz w:val="20"/>
                <w:szCs w:val="20"/>
              </w:rPr>
              <w:t>9</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3/19/2015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760A70">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w:t>
            </w:r>
            <w:r w:rsidR="00760A70">
              <w:rPr>
                <w:rFonts w:ascii="Calibri" w:eastAsia="Times New Roman" w:hAnsi="Calibri" w:cs="Calibri"/>
                <w:color w:val="000000"/>
                <w:sz w:val="20"/>
                <w:szCs w:val="20"/>
              </w:rPr>
              <w:t>4</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760A70" w:rsidP="00FF1581">
            <w:pPr>
              <w:spacing w:after="0" w:line="240" w:lineRule="auto"/>
              <w:rPr>
                <w:rFonts w:ascii="Maiandra GD" w:eastAsia="Times New Roman" w:hAnsi="Maiandra GD" w:cs="Calibri"/>
                <w:color w:val="000000"/>
                <w:sz w:val="20"/>
                <w:szCs w:val="20"/>
              </w:rPr>
            </w:pPr>
            <w:r w:rsidRPr="00760A70">
              <w:rPr>
                <w:rFonts w:ascii="Maiandra GD" w:eastAsia="Times New Roman" w:hAnsi="Maiandra GD" w:cs="Calibri"/>
                <w:color w:val="FF0000"/>
                <w:sz w:val="20"/>
                <w:szCs w:val="20"/>
              </w:rPr>
              <w:t>MIDTERM</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r w:rsidR="00760A70">
              <w:rPr>
                <w:rFonts w:ascii="Calibri" w:eastAsia="Times New Roman" w:hAnsi="Calibri" w:cs="Calibri"/>
                <w:color w:val="000000"/>
                <w:sz w:val="20"/>
                <w:szCs w:val="20"/>
              </w:rPr>
              <w:t>15</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760A70" w:rsidP="00FF1581">
            <w:pPr>
              <w:spacing w:after="0" w:line="240" w:lineRule="auto"/>
              <w:rPr>
                <w:rFonts w:ascii="Maiandra GD" w:eastAsia="Times New Roman" w:hAnsi="Maiandra GD" w:cs="Calibri"/>
                <w:color w:val="7030A0"/>
                <w:sz w:val="20"/>
                <w:szCs w:val="20"/>
              </w:rPr>
            </w:pPr>
            <w:r w:rsidRPr="00FF1581">
              <w:rPr>
                <w:rFonts w:ascii="Maiandra GD" w:eastAsia="Times New Roman" w:hAnsi="Maiandra GD" w:cs="Calibri"/>
                <w:color w:val="000000"/>
                <w:sz w:val="20"/>
                <w:szCs w:val="20"/>
              </w:rPr>
              <w:t>IBM's Watson</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10</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3/26/2015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16</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First Order Logic &amp; Inference (Chapter 8&amp;9 - Part 1)</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17</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First Order Logic &amp; Inference (Chapter 8&amp;9 - Part 2)</w:t>
            </w:r>
          </w:p>
        </w:tc>
      </w:tr>
      <w:tr w:rsidR="00FF1581" w:rsidRPr="00FF1581" w:rsidTr="00CB1A80">
        <w:trPr>
          <w:trHeight w:val="287"/>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11</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4/2/2015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18</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AF48FD" w:rsidP="00616700">
            <w:pPr>
              <w:spacing w:after="0" w:line="240" w:lineRule="auto"/>
              <w:rPr>
                <w:rFonts w:ascii="Maiandra GD" w:eastAsia="Times New Roman" w:hAnsi="Maiandra GD" w:cs="Calibri"/>
                <w:b/>
                <w:bCs/>
                <w:color w:val="000000"/>
                <w:sz w:val="20"/>
                <w:szCs w:val="20"/>
              </w:rPr>
            </w:pPr>
            <w:r>
              <w:rPr>
                <w:rFonts w:ascii="Maiandra GD" w:eastAsia="Times New Roman" w:hAnsi="Maiandra GD" w:cs="Calibri"/>
                <w:b/>
                <w:bCs/>
                <w:color w:val="000000"/>
                <w:sz w:val="20"/>
                <w:szCs w:val="20"/>
              </w:rPr>
              <w:t>STUDENT Presentation</w:t>
            </w:r>
            <w:r w:rsidR="00FF1581" w:rsidRPr="00FF1581">
              <w:rPr>
                <w:rFonts w:ascii="Maiandra GD" w:eastAsia="Times New Roman" w:hAnsi="Maiandra GD" w:cs="Calibri"/>
                <w:b/>
                <w:bCs/>
                <w:color w:val="000000"/>
                <w:sz w:val="20"/>
                <w:szCs w:val="20"/>
              </w:rPr>
              <w:t xml:space="preserve">s </w:t>
            </w:r>
          </w:p>
        </w:tc>
      </w:tr>
      <w:tr w:rsidR="00FF1581" w:rsidRPr="00FF1581" w:rsidTr="0067495B">
        <w:trPr>
          <w:trHeight w:val="510"/>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19</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F117A3">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Knowledge Representation; (KB graph, semantic nets, knowledge &amp; belief)</w:t>
            </w:r>
            <w:r w:rsidR="00DC3FD6">
              <w:rPr>
                <w:rFonts w:ascii="Maiandra GD" w:eastAsia="Times New Roman" w:hAnsi="Maiandra GD" w:cs="Calibri"/>
                <w:color w:val="000000"/>
                <w:sz w:val="20"/>
                <w:szCs w:val="20"/>
              </w:rPr>
              <w:t>.</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12</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4/9/2015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20</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AF48FD" w:rsidP="00616700">
            <w:pPr>
              <w:spacing w:after="0" w:line="240" w:lineRule="auto"/>
              <w:rPr>
                <w:rFonts w:ascii="Maiandra GD" w:eastAsia="Times New Roman" w:hAnsi="Maiandra GD" w:cs="Calibri"/>
                <w:b/>
                <w:bCs/>
                <w:color w:val="000000"/>
                <w:sz w:val="20"/>
                <w:szCs w:val="20"/>
              </w:rPr>
            </w:pPr>
            <w:r>
              <w:rPr>
                <w:rFonts w:ascii="Maiandra GD" w:eastAsia="Times New Roman" w:hAnsi="Maiandra GD" w:cs="Calibri"/>
                <w:b/>
                <w:bCs/>
                <w:color w:val="000000"/>
                <w:sz w:val="20"/>
                <w:szCs w:val="20"/>
              </w:rPr>
              <w:t>STUDENT Presentation</w:t>
            </w:r>
            <w:r w:rsidR="00FF1581" w:rsidRPr="00FF1581">
              <w:rPr>
                <w:rFonts w:ascii="Maiandra GD" w:eastAsia="Times New Roman" w:hAnsi="Maiandra GD" w:cs="Calibri"/>
                <w:b/>
                <w:bCs/>
                <w:color w:val="000000"/>
                <w:sz w:val="20"/>
                <w:szCs w:val="20"/>
              </w:rPr>
              <w:t xml:space="preserve">s </w:t>
            </w:r>
          </w:p>
        </w:tc>
      </w:tr>
      <w:tr w:rsidR="00FF1581" w:rsidRPr="00FF1581" w:rsidTr="0067495B">
        <w:trPr>
          <w:trHeight w:val="510"/>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21</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117A3" w:rsidRDefault="00F117A3" w:rsidP="00F117A3">
            <w:pPr>
              <w:spacing w:after="0" w:line="240" w:lineRule="auto"/>
              <w:rPr>
                <w:rFonts w:ascii="Maiandra GD" w:eastAsia="Times New Roman" w:hAnsi="Maiandra GD" w:cs="Calibri"/>
                <w:color w:val="000000"/>
                <w:sz w:val="20"/>
                <w:szCs w:val="20"/>
              </w:rPr>
            </w:pPr>
            <w:r>
              <w:rPr>
                <w:rFonts w:ascii="Maiandra GD" w:eastAsia="Times New Roman" w:hAnsi="Maiandra GD" w:cs="Calibri"/>
                <w:color w:val="000000"/>
                <w:sz w:val="20"/>
                <w:szCs w:val="20"/>
              </w:rPr>
              <w:t>Introduction to Probability.</w:t>
            </w:r>
          </w:p>
          <w:p w:rsidR="00FF1581" w:rsidRPr="00F117A3" w:rsidRDefault="00F117A3" w:rsidP="00F117A3">
            <w:pPr>
              <w:spacing w:after="0" w:line="240" w:lineRule="auto"/>
              <w:rPr>
                <w:rFonts w:ascii="Maiandra GD" w:eastAsia="Times New Roman" w:hAnsi="Maiandra GD" w:cs="Calibri"/>
                <w:b/>
                <w:color w:val="000000"/>
                <w:sz w:val="20"/>
                <w:szCs w:val="20"/>
              </w:rPr>
            </w:pPr>
            <w:r w:rsidRPr="00FF1581">
              <w:rPr>
                <w:rFonts w:ascii="Maiandra GD" w:eastAsia="Times New Roman" w:hAnsi="Maiandra GD" w:cs="Calibri"/>
                <w:color w:val="000000"/>
                <w:sz w:val="20"/>
                <w:szCs w:val="20"/>
              </w:rPr>
              <w:t>Uncertainty. Bayes' Rule (Chapter 13)</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13</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760A70"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4/16/2015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22</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117A3" w:rsidRDefault="00F117A3" w:rsidP="0081378C">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Probabilistic Reasoning (</w:t>
            </w:r>
            <w:r w:rsidR="0081378C">
              <w:rPr>
                <w:rFonts w:ascii="Maiandra GD" w:eastAsia="Times New Roman" w:hAnsi="Maiandra GD" w:cs="Calibri"/>
                <w:color w:val="000000"/>
                <w:sz w:val="20"/>
                <w:szCs w:val="20"/>
              </w:rPr>
              <w:t>Chapter 14.1, 2); Fuzzy logic</w:t>
            </w:r>
          </w:p>
        </w:tc>
      </w:tr>
      <w:tr w:rsidR="00FF1581" w:rsidRPr="00FF1581" w:rsidTr="00616700">
        <w:trPr>
          <w:trHeight w:val="287"/>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23</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81378C" w:rsidP="00FF1581">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Learning from observations; decision trees, inductive learning (Ch. 18, part 19)</w:t>
            </w:r>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14</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D1114E"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4/23/2015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24</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AF48FD" w:rsidP="00616700">
            <w:pPr>
              <w:spacing w:after="0" w:line="240" w:lineRule="auto"/>
              <w:rPr>
                <w:rFonts w:ascii="Maiandra GD" w:eastAsia="Times New Roman" w:hAnsi="Maiandra GD" w:cs="Calibri"/>
                <w:b/>
                <w:bCs/>
                <w:color w:val="000000"/>
                <w:sz w:val="20"/>
                <w:szCs w:val="20"/>
              </w:rPr>
            </w:pPr>
            <w:r>
              <w:rPr>
                <w:rFonts w:ascii="Maiandra GD" w:eastAsia="Times New Roman" w:hAnsi="Maiandra GD" w:cs="Calibri"/>
                <w:b/>
                <w:bCs/>
                <w:color w:val="000000"/>
                <w:sz w:val="20"/>
                <w:szCs w:val="20"/>
              </w:rPr>
              <w:t>STUDENT Presentation</w:t>
            </w:r>
            <w:r w:rsidR="00FF1581" w:rsidRPr="00FF1581">
              <w:rPr>
                <w:rFonts w:ascii="Maiandra GD" w:eastAsia="Times New Roman" w:hAnsi="Maiandra GD" w:cs="Calibri"/>
                <w:b/>
                <w:bCs/>
                <w:color w:val="000000"/>
                <w:sz w:val="20"/>
                <w:szCs w:val="20"/>
              </w:rPr>
              <w:t xml:space="preserve">s </w:t>
            </w:r>
          </w:p>
        </w:tc>
      </w:tr>
      <w:tr w:rsidR="00FF1581" w:rsidRPr="00FF1581" w:rsidTr="00D1114E">
        <w:trPr>
          <w:trHeight w:val="269"/>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25</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81378C" w:rsidP="00D1114E">
            <w:pPr>
              <w:spacing w:after="0" w:line="240" w:lineRule="auto"/>
              <w:rPr>
                <w:rFonts w:ascii="Maiandra GD" w:eastAsia="Times New Roman" w:hAnsi="Maiandra GD" w:cs="Calibri"/>
                <w:color w:val="000000"/>
                <w:sz w:val="20"/>
                <w:szCs w:val="20"/>
              </w:rPr>
            </w:pPr>
            <w:r>
              <w:rPr>
                <w:rFonts w:ascii="Maiandra GD" w:eastAsia="Times New Roman" w:hAnsi="Maiandra GD" w:cs="Calibri"/>
                <w:color w:val="000000"/>
                <w:sz w:val="20"/>
                <w:szCs w:val="20"/>
              </w:rPr>
              <w:t xml:space="preserve">Special topics: </w:t>
            </w:r>
            <w:r w:rsidR="00D473F4">
              <w:rPr>
                <w:rFonts w:ascii="Maiandra GD" w:eastAsia="Times New Roman" w:hAnsi="Maiandra GD" w:cs="Calibri"/>
                <w:color w:val="000000"/>
                <w:sz w:val="20"/>
                <w:szCs w:val="20"/>
              </w:rPr>
              <w:t>Software System Modeling</w:t>
            </w:r>
            <w:bookmarkStart w:id="0" w:name="_GoBack"/>
            <w:bookmarkEnd w:id="0"/>
          </w:p>
        </w:tc>
      </w:tr>
      <w:tr w:rsidR="00FF1581" w:rsidRPr="00FF1581" w:rsidTr="0067495B">
        <w:trPr>
          <w:trHeight w:val="255"/>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15</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D1114E" w:rsidP="00FF158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4/30/2015</w:t>
            </w: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26</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AF48FD" w:rsidP="00FF1581">
            <w:pPr>
              <w:spacing w:after="0" w:line="240" w:lineRule="auto"/>
              <w:rPr>
                <w:rFonts w:ascii="Maiandra GD" w:eastAsia="Times New Roman" w:hAnsi="Maiandra GD" w:cs="Calibri"/>
                <w:b/>
                <w:bCs/>
                <w:color w:val="000000"/>
                <w:sz w:val="20"/>
                <w:szCs w:val="20"/>
              </w:rPr>
            </w:pPr>
            <w:r>
              <w:rPr>
                <w:rFonts w:ascii="Maiandra GD" w:eastAsia="Times New Roman" w:hAnsi="Maiandra GD" w:cs="Calibri"/>
                <w:b/>
                <w:bCs/>
                <w:color w:val="000000"/>
                <w:sz w:val="20"/>
                <w:szCs w:val="20"/>
              </w:rPr>
              <w:t>STUDENT Presentations</w:t>
            </w:r>
          </w:p>
        </w:tc>
      </w:tr>
      <w:tr w:rsidR="00FF1581" w:rsidRPr="00FF1581" w:rsidTr="00616700">
        <w:trPr>
          <w:trHeight w:val="287"/>
        </w:trPr>
        <w:tc>
          <w:tcPr>
            <w:tcW w:w="900" w:type="dxa"/>
            <w:tcBorders>
              <w:top w:val="nil"/>
              <w:left w:val="single" w:sz="4" w:space="0" w:color="auto"/>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auto" w:fill="F2F2F2" w:themeFill="background1" w:themeFillShade="F2"/>
            <w:noWrap/>
          </w:tcPr>
          <w:p w:rsidR="00FF1581" w:rsidRPr="00FF1581" w:rsidRDefault="00FF1581" w:rsidP="00FF1581">
            <w:pPr>
              <w:spacing w:after="0" w:line="240" w:lineRule="auto"/>
              <w:jc w:val="center"/>
              <w:rPr>
                <w:rFonts w:ascii="Calibri" w:eastAsia="Times New Roman" w:hAnsi="Calibri" w:cs="Calibri"/>
                <w:color w:val="000000"/>
                <w:sz w:val="20"/>
                <w:szCs w:val="20"/>
              </w:rPr>
            </w:pPr>
          </w:p>
        </w:tc>
        <w:tc>
          <w:tcPr>
            <w:tcW w:w="680" w:type="dxa"/>
            <w:tcBorders>
              <w:top w:val="nil"/>
              <w:left w:val="nil"/>
              <w:bottom w:val="single" w:sz="4" w:space="0" w:color="auto"/>
              <w:right w:val="single" w:sz="4" w:space="0" w:color="auto"/>
            </w:tcBorders>
            <w:shd w:val="clear" w:color="auto" w:fill="F2F2F2" w:themeFill="background1" w:themeFillShade="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27</w:t>
            </w:r>
          </w:p>
        </w:tc>
        <w:tc>
          <w:tcPr>
            <w:tcW w:w="6920" w:type="dxa"/>
            <w:tcBorders>
              <w:top w:val="nil"/>
              <w:left w:val="nil"/>
              <w:bottom w:val="single" w:sz="4" w:space="0" w:color="auto"/>
              <w:right w:val="single" w:sz="4" w:space="0" w:color="auto"/>
            </w:tcBorders>
            <w:shd w:val="clear" w:color="auto" w:fill="F2F2F2" w:themeFill="background1" w:themeFillShade="F2"/>
            <w:hideMark/>
          </w:tcPr>
          <w:p w:rsidR="00FF1581" w:rsidRPr="00FF1581" w:rsidRDefault="00FF1581" w:rsidP="00D1114E">
            <w:pPr>
              <w:spacing w:after="0" w:line="240" w:lineRule="auto"/>
              <w:rPr>
                <w:rFonts w:ascii="Maiandra GD" w:eastAsia="Times New Roman" w:hAnsi="Maiandra GD" w:cs="Calibri"/>
                <w:color w:val="000000"/>
                <w:sz w:val="20"/>
                <w:szCs w:val="20"/>
              </w:rPr>
            </w:pPr>
            <w:r w:rsidRPr="00FF1581">
              <w:rPr>
                <w:rFonts w:ascii="Maiandra GD" w:eastAsia="Times New Roman" w:hAnsi="Maiandra GD" w:cs="Calibri"/>
                <w:color w:val="000000"/>
                <w:sz w:val="20"/>
                <w:szCs w:val="20"/>
              </w:rPr>
              <w:t>Philosophical Foundations (Chapter 26); strong vs. weak AI</w:t>
            </w:r>
            <w:r w:rsidR="00616700">
              <w:rPr>
                <w:rFonts w:ascii="Maiandra GD" w:eastAsia="Times New Roman" w:hAnsi="Maiandra GD" w:cs="Calibri"/>
                <w:color w:val="000000"/>
                <w:sz w:val="20"/>
                <w:szCs w:val="20"/>
              </w:rPr>
              <w:t xml:space="preserve">; </w:t>
            </w:r>
            <w:r w:rsidR="00D1114E">
              <w:rPr>
                <w:rFonts w:ascii="Maiandra GD" w:eastAsia="Times New Roman" w:hAnsi="Maiandra GD" w:cs="Calibri"/>
                <w:color w:val="000000"/>
                <w:sz w:val="20"/>
                <w:szCs w:val="20"/>
              </w:rPr>
              <w:t>Final Review</w:t>
            </w:r>
          </w:p>
        </w:tc>
      </w:tr>
      <w:tr w:rsidR="00FF1581" w:rsidRPr="00FF1581" w:rsidTr="00FF1581">
        <w:trPr>
          <w:trHeight w:val="255"/>
        </w:trPr>
        <w:tc>
          <w:tcPr>
            <w:tcW w:w="900" w:type="dxa"/>
            <w:tcBorders>
              <w:top w:val="nil"/>
              <w:left w:val="single" w:sz="4" w:space="0" w:color="auto"/>
              <w:bottom w:val="single" w:sz="4" w:space="0" w:color="auto"/>
              <w:right w:val="single" w:sz="4" w:space="0" w:color="auto"/>
            </w:tcBorders>
            <w:shd w:val="clear" w:color="000000" w:fill="F2F2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 </w:t>
            </w:r>
          </w:p>
        </w:tc>
        <w:tc>
          <w:tcPr>
            <w:tcW w:w="1080" w:type="dxa"/>
            <w:tcBorders>
              <w:top w:val="nil"/>
              <w:left w:val="nil"/>
              <w:bottom w:val="single" w:sz="4" w:space="0" w:color="auto"/>
              <w:right w:val="single" w:sz="4" w:space="0" w:color="auto"/>
            </w:tcBorders>
            <w:shd w:val="clear" w:color="000000" w:fill="F2F2F2"/>
            <w:noWrap/>
            <w:hideMark/>
          </w:tcPr>
          <w:p w:rsidR="00FF1581" w:rsidRPr="00FF1581" w:rsidRDefault="00FF1581" w:rsidP="00FF1581">
            <w:pPr>
              <w:spacing w:after="0" w:line="240" w:lineRule="auto"/>
              <w:jc w:val="center"/>
              <w:rPr>
                <w:rFonts w:ascii="Calibri" w:eastAsia="Times New Roman" w:hAnsi="Calibri" w:cs="Calibri"/>
                <w:color w:val="000000"/>
                <w:sz w:val="20"/>
                <w:szCs w:val="20"/>
              </w:rPr>
            </w:pPr>
            <w:r w:rsidRPr="00FF1581">
              <w:rPr>
                <w:rFonts w:ascii="Calibri" w:eastAsia="Times New Roman" w:hAnsi="Calibri" w:cs="Calibri"/>
                <w:color w:val="000000"/>
                <w:sz w:val="20"/>
                <w:szCs w:val="20"/>
              </w:rPr>
              <w:t>TBD</w:t>
            </w:r>
          </w:p>
        </w:tc>
        <w:tc>
          <w:tcPr>
            <w:tcW w:w="680" w:type="dxa"/>
            <w:tcBorders>
              <w:top w:val="nil"/>
              <w:left w:val="nil"/>
              <w:bottom w:val="single" w:sz="4" w:space="0" w:color="auto"/>
              <w:right w:val="single" w:sz="4" w:space="0" w:color="auto"/>
            </w:tcBorders>
            <w:shd w:val="clear" w:color="000000" w:fill="F2F2F2"/>
            <w:noWrap/>
            <w:hideMark/>
          </w:tcPr>
          <w:p w:rsidR="00FF1581" w:rsidRPr="00FF1581" w:rsidRDefault="00FF1581" w:rsidP="00FF1581">
            <w:pPr>
              <w:spacing w:after="0" w:line="240" w:lineRule="auto"/>
              <w:jc w:val="center"/>
              <w:rPr>
                <w:rFonts w:ascii="Calibri" w:eastAsia="Times New Roman" w:hAnsi="Calibri" w:cs="Calibri"/>
                <w:color w:val="FF0000"/>
                <w:sz w:val="20"/>
                <w:szCs w:val="20"/>
              </w:rPr>
            </w:pPr>
            <w:r w:rsidRPr="00FF1581">
              <w:rPr>
                <w:rFonts w:ascii="Calibri" w:eastAsia="Times New Roman" w:hAnsi="Calibri" w:cs="Calibri"/>
                <w:color w:val="FF0000"/>
                <w:sz w:val="20"/>
                <w:szCs w:val="20"/>
              </w:rPr>
              <w:t>28</w:t>
            </w:r>
          </w:p>
        </w:tc>
        <w:tc>
          <w:tcPr>
            <w:tcW w:w="6920" w:type="dxa"/>
            <w:tcBorders>
              <w:top w:val="nil"/>
              <w:left w:val="nil"/>
              <w:bottom w:val="single" w:sz="4" w:space="0" w:color="auto"/>
              <w:right w:val="single" w:sz="4" w:space="0" w:color="auto"/>
            </w:tcBorders>
            <w:shd w:val="clear" w:color="000000" w:fill="F2F2F2"/>
            <w:hideMark/>
          </w:tcPr>
          <w:p w:rsidR="00FF1581" w:rsidRPr="00FF1581" w:rsidRDefault="00FF1581" w:rsidP="00FF1581">
            <w:pPr>
              <w:spacing w:after="0" w:line="240" w:lineRule="auto"/>
              <w:rPr>
                <w:rFonts w:ascii="Maiandra GD" w:eastAsia="Times New Roman" w:hAnsi="Maiandra GD" w:cs="Calibri"/>
                <w:color w:val="FF0000"/>
                <w:sz w:val="20"/>
                <w:szCs w:val="20"/>
              </w:rPr>
            </w:pPr>
            <w:r w:rsidRPr="00FF1581">
              <w:rPr>
                <w:rFonts w:ascii="Maiandra GD" w:eastAsia="Times New Roman" w:hAnsi="Maiandra GD" w:cs="Calibri"/>
                <w:color w:val="FF0000"/>
                <w:sz w:val="20"/>
                <w:szCs w:val="20"/>
              </w:rPr>
              <w:t>FINAL EXAMINATION</w:t>
            </w:r>
          </w:p>
        </w:tc>
      </w:tr>
    </w:tbl>
    <w:p w:rsidR="00616700" w:rsidRDefault="00616700" w:rsidP="00BB66E3"/>
    <w:p w:rsidR="00BB66E3" w:rsidRDefault="00BB66E3">
      <w:pPr>
        <w:rPr>
          <w:rFonts w:cstheme="minorHAnsi"/>
        </w:rPr>
      </w:pPr>
      <w:r>
        <w:rPr>
          <w:rFonts w:cstheme="minorHAnsi"/>
        </w:rPr>
        <w:br w:type="page"/>
      </w:r>
    </w:p>
    <w:p w:rsidR="00266D58" w:rsidRPr="006C358E" w:rsidRDefault="00266D58" w:rsidP="00266D58">
      <w:pPr>
        <w:pBdr>
          <w:bottom w:val="single" w:sz="4" w:space="1" w:color="auto"/>
        </w:pBdr>
        <w:rPr>
          <w:rFonts w:cstheme="minorHAnsi"/>
        </w:rPr>
      </w:pPr>
      <w:r>
        <w:rPr>
          <w:rFonts w:cstheme="minorHAnsi"/>
        </w:rPr>
        <w:lastRenderedPageBreak/>
        <w:t>What to expect from the AI class</w:t>
      </w:r>
    </w:p>
    <w:p w:rsidR="00266D58" w:rsidRDefault="00266D58" w:rsidP="00266D58">
      <w:pPr>
        <w:pStyle w:val="ListParagraph"/>
        <w:numPr>
          <w:ilvl w:val="0"/>
          <w:numId w:val="2"/>
        </w:numPr>
        <w:rPr>
          <w:rFonts w:cstheme="minorHAnsi"/>
        </w:rPr>
      </w:pPr>
      <w:r w:rsidRPr="00266D58">
        <w:rPr>
          <w:rFonts w:cstheme="minorHAnsi"/>
        </w:rPr>
        <w:t>You will be familiarized with the basic search algorithms that lay at the foundations of most practical AI applications and expert systems</w:t>
      </w:r>
    </w:p>
    <w:p w:rsidR="00266D58" w:rsidRDefault="00266D58" w:rsidP="00266D58">
      <w:pPr>
        <w:pStyle w:val="ListParagraph"/>
        <w:numPr>
          <w:ilvl w:val="0"/>
          <w:numId w:val="2"/>
        </w:numPr>
        <w:rPr>
          <w:rFonts w:cstheme="minorHAnsi"/>
        </w:rPr>
      </w:pPr>
      <w:r>
        <w:rPr>
          <w:rFonts w:cstheme="minorHAnsi"/>
        </w:rPr>
        <w:t>You will be given an introduction to functional programming with F#, as well as some functional programming constructs in C#, along with a variety of applications to solving recursive problems</w:t>
      </w:r>
    </w:p>
    <w:p w:rsidR="00266D58" w:rsidRDefault="00266D58" w:rsidP="00266D58">
      <w:pPr>
        <w:pStyle w:val="ListParagraph"/>
        <w:numPr>
          <w:ilvl w:val="0"/>
          <w:numId w:val="2"/>
        </w:numPr>
        <w:rPr>
          <w:rFonts w:cstheme="minorHAnsi"/>
        </w:rPr>
      </w:pPr>
      <w:r>
        <w:rPr>
          <w:rFonts w:cstheme="minorHAnsi"/>
        </w:rPr>
        <w:t>A few special topics of general interest in the field will be presented, such as genetic algorithms, one of IBM’s most advanced expert systems, chatter-bots, etc., while all of you will have the opportunity to research any AI topic of interest to you, and prepare and give a 15-20 minute presentation to the entire cl</w:t>
      </w:r>
      <w:r w:rsidR="00B81EEE">
        <w:rPr>
          <w:rFonts w:cstheme="minorHAnsi"/>
        </w:rPr>
        <w:t>ass on the topic of your choice</w:t>
      </w:r>
    </w:p>
    <w:p w:rsidR="00442DF4" w:rsidRPr="00442DF4" w:rsidRDefault="00266D58" w:rsidP="00442DF4">
      <w:pPr>
        <w:pStyle w:val="ListParagraph"/>
        <w:numPr>
          <w:ilvl w:val="0"/>
          <w:numId w:val="2"/>
        </w:numPr>
        <w:rPr>
          <w:rFonts w:cstheme="minorHAnsi"/>
        </w:rPr>
      </w:pPr>
      <w:r>
        <w:rPr>
          <w:rFonts w:cstheme="minorHAnsi"/>
        </w:rPr>
        <w:t xml:space="preserve">You will also be provided with </w:t>
      </w:r>
      <w:r w:rsidR="00B81EEE">
        <w:rPr>
          <w:rFonts w:cstheme="minorHAnsi"/>
        </w:rPr>
        <w:t>some</w:t>
      </w:r>
      <w:r>
        <w:rPr>
          <w:rFonts w:cstheme="minorHAnsi"/>
        </w:rPr>
        <w:t xml:space="preserve"> aspects and </w:t>
      </w:r>
      <w:r w:rsidR="00B81EEE">
        <w:rPr>
          <w:rFonts w:cstheme="minorHAnsi"/>
        </w:rPr>
        <w:t>details</w:t>
      </w:r>
      <w:r>
        <w:rPr>
          <w:rFonts w:cstheme="minorHAnsi"/>
        </w:rPr>
        <w:t xml:space="preserve"> that are pertinent to </w:t>
      </w:r>
      <w:r w:rsidR="00B81EEE">
        <w:rPr>
          <w:rFonts w:cstheme="minorHAnsi"/>
        </w:rPr>
        <w:t>building some of the skills required of a</w:t>
      </w:r>
      <w:r>
        <w:rPr>
          <w:rFonts w:cstheme="minorHAnsi"/>
        </w:rPr>
        <w:t xml:space="preserve"> software </w:t>
      </w:r>
      <w:r w:rsidR="00B81EEE">
        <w:rPr>
          <w:rFonts w:cstheme="minorHAnsi"/>
        </w:rPr>
        <w:t>developer/architect such as</w:t>
      </w:r>
      <w:r>
        <w:rPr>
          <w:rFonts w:cstheme="minorHAnsi"/>
        </w:rPr>
        <w:t xml:space="preserve"> </w:t>
      </w:r>
      <w:r w:rsidR="00B81EEE">
        <w:rPr>
          <w:rFonts w:cstheme="minorHAnsi"/>
        </w:rPr>
        <w:t xml:space="preserve">and data &amp; conceptual modeling involved in </w:t>
      </w:r>
      <w:r>
        <w:rPr>
          <w:rFonts w:cstheme="minorHAnsi"/>
        </w:rPr>
        <w:t>software system design</w:t>
      </w:r>
      <w:r w:rsidR="00B81EEE">
        <w:rPr>
          <w:rFonts w:cstheme="minorHAnsi"/>
        </w:rPr>
        <w:t>, with concrete examples from the industry and from actual implementation projects</w:t>
      </w:r>
    </w:p>
    <w:p w:rsidR="00266D58" w:rsidRDefault="00266D58">
      <w:pPr>
        <w:rPr>
          <w:rFonts w:cstheme="minorHAnsi"/>
        </w:rPr>
      </w:pPr>
    </w:p>
    <w:p w:rsidR="00266D58" w:rsidRDefault="00266D58">
      <w:pPr>
        <w:rPr>
          <w:rFonts w:cstheme="minorHAnsi"/>
        </w:rPr>
      </w:pPr>
      <w:r>
        <w:rPr>
          <w:rFonts w:cstheme="minorHAnsi"/>
        </w:rPr>
        <w:br w:type="page"/>
      </w:r>
    </w:p>
    <w:p w:rsidR="006C358E" w:rsidRPr="006C358E" w:rsidRDefault="006C358E" w:rsidP="006C358E">
      <w:pPr>
        <w:pBdr>
          <w:bottom w:val="single" w:sz="4" w:space="1" w:color="auto"/>
        </w:pBdr>
        <w:rPr>
          <w:rFonts w:cstheme="minorHAnsi"/>
        </w:rPr>
      </w:pPr>
      <w:r w:rsidRPr="006C358E">
        <w:rPr>
          <w:rFonts w:cstheme="minorHAnsi"/>
        </w:rPr>
        <w:lastRenderedPageBreak/>
        <w:t>Other Details</w:t>
      </w:r>
    </w:p>
    <w:p w:rsidR="006C358E" w:rsidRPr="006C358E" w:rsidRDefault="006C358E" w:rsidP="006C358E">
      <w:pPr>
        <w:pStyle w:val="ListParagraph"/>
        <w:numPr>
          <w:ilvl w:val="0"/>
          <w:numId w:val="1"/>
        </w:numPr>
        <w:spacing w:after="0" w:line="240" w:lineRule="auto"/>
        <w:rPr>
          <w:rFonts w:eastAsia="Times New Roman" w:cstheme="minorHAnsi"/>
          <w:color w:val="000000"/>
          <w:sz w:val="27"/>
          <w:szCs w:val="27"/>
        </w:rPr>
      </w:pPr>
      <w:r w:rsidRPr="006C358E">
        <w:rPr>
          <w:rFonts w:eastAsia="Times New Roman" w:cstheme="minorHAnsi"/>
          <w:color w:val="000000"/>
          <w:sz w:val="24"/>
          <w:szCs w:val="24"/>
        </w:rPr>
        <w:t>Disability Accommodations: Students needing academic accommodations for a disability must first be registered with Disability Accommodations &amp; Success Strategies (DASS) to verify the disability and to establish eligibility for accommodations. Students may call 214-768-1470 or visit</w:t>
      </w:r>
      <w:hyperlink r:id="rId5" w:tgtFrame="_blank" w:history="1">
        <w:r w:rsidRPr="006C358E">
          <w:rPr>
            <w:rFonts w:eastAsia="Times New Roman" w:cstheme="minorHAnsi"/>
            <w:color w:val="0000FF"/>
            <w:sz w:val="24"/>
            <w:szCs w:val="24"/>
            <w:u w:val="single"/>
          </w:rPr>
          <w:t>http://www.smu.edu/alec/dass</w:t>
        </w:r>
      </w:hyperlink>
      <w:r w:rsidRPr="006C358E">
        <w:rPr>
          <w:rFonts w:eastAsia="Times New Roman" w:cstheme="minorHAnsi"/>
          <w:color w:val="000000"/>
          <w:sz w:val="24"/>
          <w:szCs w:val="24"/>
        </w:rPr>
        <w:t> to begin the process. Once registered, students should then schedule an appointment with the professor to make appropriate arrangements. </w:t>
      </w:r>
    </w:p>
    <w:p w:rsidR="006C358E" w:rsidRPr="006C358E" w:rsidRDefault="006C358E" w:rsidP="006C358E">
      <w:pPr>
        <w:pStyle w:val="ListParagraph"/>
        <w:numPr>
          <w:ilvl w:val="0"/>
          <w:numId w:val="1"/>
        </w:numPr>
        <w:spacing w:line="240" w:lineRule="auto"/>
        <w:rPr>
          <w:rFonts w:eastAsia="Times New Roman" w:cstheme="minorHAnsi"/>
          <w:color w:val="000000"/>
          <w:sz w:val="27"/>
          <w:szCs w:val="27"/>
        </w:rPr>
      </w:pPr>
      <w:r w:rsidRPr="006C358E">
        <w:rPr>
          <w:rFonts w:eastAsia="Times New Roman" w:cstheme="minorHAnsi"/>
          <w:color w:val="000000"/>
          <w:sz w:val="24"/>
          <w:szCs w:val="24"/>
        </w:rPr>
        <w:t>Religious Observance: Religiously observant students wishing to be absent on holidays that require missing class should notify their professors in writing at the beginning of the semester, and should discuss with them, in advance, acceptable ways of making up any work missed because of the absence. (See University Policy No. 1.9.)</w:t>
      </w:r>
    </w:p>
    <w:p w:rsidR="006C358E" w:rsidRPr="006C358E" w:rsidRDefault="006C358E" w:rsidP="006C358E">
      <w:pPr>
        <w:pStyle w:val="ListParagraph"/>
        <w:numPr>
          <w:ilvl w:val="0"/>
          <w:numId w:val="1"/>
        </w:numPr>
        <w:spacing w:after="0" w:line="240" w:lineRule="auto"/>
        <w:rPr>
          <w:rFonts w:eastAsia="Times New Roman" w:cstheme="minorHAnsi"/>
          <w:color w:val="000000"/>
          <w:sz w:val="27"/>
          <w:szCs w:val="27"/>
        </w:rPr>
      </w:pPr>
      <w:r w:rsidRPr="006C358E">
        <w:rPr>
          <w:rFonts w:eastAsia="Times New Roman" w:cstheme="minorHAnsi"/>
          <w:color w:val="000000"/>
          <w:sz w:val="24"/>
          <w:szCs w:val="24"/>
        </w:rPr>
        <w:t>Excused Absences for University Extracurricular Activities: 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rsidR="006C358E" w:rsidRPr="006C358E" w:rsidRDefault="006C358E" w:rsidP="006C358E">
      <w:pPr>
        <w:pStyle w:val="ListParagraph"/>
        <w:numPr>
          <w:ilvl w:val="0"/>
          <w:numId w:val="1"/>
        </w:numPr>
        <w:spacing w:after="0" w:line="240" w:lineRule="auto"/>
        <w:rPr>
          <w:rFonts w:eastAsia="Times New Roman" w:cstheme="minorHAnsi"/>
          <w:color w:val="000000"/>
          <w:sz w:val="27"/>
          <w:szCs w:val="27"/>
        </w:rPr>
      </w:pPr>
      <w:r w:rsidRPr="006C358E">
        <w:rPr>
          <w:rFonts w:eastAsia="Times New Roman" w:cstheme="minorHAnsi"/>
          <w:color w:val="000000"/>
          <w:sz w:val="24"/>
          <w:szCs w:val="24"/>
        </w:rPr>
        <w:t>Student Learning Outcomes:  Please include in your syllabi all student learning outcomes, both those specific to your course, as well as those that satisfy major and general education requirements.</w:t>
      </w:r>
    </w:p>
    <w:p w:rsidR="006C358E" w:rsidRPr="006C358E" w:rsidRDefault="006C358E" w:rsidP="006C358E">
      <w:pPr>
        <w:pStyle w:val="ListParagraph"/>
        <w:numPr>
          <w:ilvl w:val="0"/>
          <w:numId w:val="1"/>
        </w:numPr>
        <w:spacing w:after="0" w:line="240" w:lineRule="auto"/>
        <w:rPr>
          <w:rFonts w:eastAsia="Times New Roman" w:cstheme="minorHAnsi"/>
          <w:color w:val="000000"/>
          <w:sz w:val="27"/>
          <w:szCs w:val="27"/>
        </w:rPr>
      </w:pPr>
      <w:r w:rsidRPr="006C358E">
        <w:rPr>
          <w:rFonts w:eastAsia="Times New Roman" w:cstheme="minorHAnsi"/>
          <w:color w:val="000000"/>
          <w:sz w:val="24"/>
          <w:szCs w:val="24"/>
        </w:rPr>
        <w:t>Final Exams:  Final course examinations shall be given in all courses where they are appropriate, must be administered as specified in the official examination schedule, and shall not be administered during the last week of classes or during the Reading Period. </w:t>
      </w:r>
    </w:p>
    <w:p w:rsidR="006C358E" w:rsidRPr="006C358E" w:rsidRDefault="006C358E">
      <w:pPr>
        <w:rPr>
          <w:rFonts w:cstheme="minorHAnsi"/>
        </w:rPr>
      </w:pPr>
    </w:p>
    <w:sectPr w:rsidR="006C358E" w:rsidRPr="006C3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65251"/>
    <w:multiLevelType w:val="hybridMultilevel"/>
    <w:tmpl w:val="8684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5C02AA"/>
    <w:multiLevelType w:val="hybridMultilevel"/>
    <w:tmpl w:val="ABD0D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58E"/>
    <w:rsid w:val="000116C2"/>
    <w:rsid w:val="00045553"/>
    <w:rsid w:val="00266D58"/>
    <w:rsid w:val="003424DA"/>
    <w:rsid w:val="003870C1"/>
    <w:rsid w:val="004274C9"/>
    <w:rsid w:val="00442DF4"/>
    <w:rsid w:val="005114B7"/>
    <w:rsid w:val="00616700"/>
    <w:rsid w:val="0067495B"/>
    <w:rsid w:val="006919FD"/>
    <w:rsid w:val="006C358E"/>
    <w:rsid w:val="006F2CD9"/>
    <w:rsid w:val="00760A70"/>
    <w:rsid w:val="0081378C"/>
    <w:rsid w:val="0083155E"/>
    <w:rsid w:val="009A5EC3"/>
    <w:rsid w:val="00AF48FD"/>
    <w:rsid w:val="00B17AFC"/>
    <w:rsid w:val="00B56D8A"/>
    <w:rsid w:val="00B73274"/>
    <w:rsid w:val="00B80E6F"/>
    <w:rsid w:val="00B81EEE"/>
    <w:rsid w:val="00BB66E3"/>
    <w:rsid w:val="00CB1A80"/>
    <w:rsid w:val="00CC39AB"/>
    <w:rsid w:val="00D1114E"/>
    <w:rsid w:val="00D11E00"/>
    <w:rsid w:val="00D473F4"/>
    <w:rsid w:val="00DC3FD6"/>
    <w:rsid w:val="00DD3C1A"/>
    <w:rsid w:val="00E10394"/>
    <w:rsid w:val="00E361E3"/>
    <w:rsid w:val="00F117A3"/>
    <w:rsid w:val="00F47870"/>
    <w:rsid w:val="00F96F62"/>
    <w:rsid w:val="00FF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009F3-0329-4788-AFE6-33516CDF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C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358E"/>
    <w:rPr>
      <w:color w:val="0000FF"/>
      <w:u w:val="single"/>
    </w:rPr>
  </w:style>
  <w:style w:type="character" w:customStyle="1" w:styleId="apple-converted-space">
    <w:name w:val="apple-converted-space"/>
    <w:basedOn w:val="DefaultParagraphFont"/>
    <w:rsid w:val="006C358E"/>
  </w:style>
  <w:style w:type="paragraph" w:styleId="ListParagraph">
    <w:name w:val="List Paragraph"/>
    <w:basedOn w:val="Normal"/>
    <w:uiPriority w:val="34"/>
    <w:qFormat/>
    <w:rsid w:val="006C358E"/>
    <w:pPr>
      <w:ind w:left="720"/>
      <w:contextualSpacing/>
    </w:pPr>
  </w:style>
  <w:style w:type="paragraph" w:styleId="Title">
    <w:name w:val="Title"/>
    <w:basedOn w:val="Normal"/>
    <w:next w:val="Normal"/>
    <w:link w:val="TitleChar"/>
    <w:uiPriority w:val="10"/>
    <w:qFormat/>
    <w:rsid w:val="00DD3C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C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3C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3C1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D3C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559735">
      <w:bodyDiv w:val="1"/>
      <w:marLeft w:val="0"/>
      <w:marRight w:val="0"/>
      <w:marTop w:val="0"/>
      <w:marBottom w:val="0"/>
      <w:divBdr>
        <w:top w:val="none" w:sz="0" w:space="0" w:color="auto"/>
        <w:left w:val="none" w:sz="0" w:space="0" w:color="auto"/>
        <w:bottom w:val="none" w:sz="0" w:space="0" w:color="auto"/>
        <w:right w:val="none" w:sz="0" w:space="0" w:color="auto"/>
      </w:divBdr>
    </w:div>
    <w:div w:id="1630940571">
      <w:bodyDiv w:val="1"/>
      <w:marLeft w:val="0"/>
      <w:marRight w:val="0"/>
      <w:marTop w:val="0"/>
      <w:marBottom w:val="0"/>
      <w:divBdr>
        <w:top w:val="none" w:sz="0" w:space="0" w:color="auto"/>
        <w:left w:val="none" w:sz="0" w:space="0" w:color="auto"/>
        <w:bottom w:val="none" w:sz="0" w:space="0" w:color="auto"/>
        <w:right w:val="none" w:sz="0" w:space="0" w:color="auto"/>
      </w:divBdr>
      <w:divsChild>
        <w:div w:id="1934706246">
          <w:marLeft w:val="2160"/>
          <w:marRight w:val="0"/>
          <w:marTop w:val="0"/>
          <w:marBottom w:val="0"/>
          <w:divBdr>
            <w:top w:val="none" w:sz="0" w:space="0" w:color="auto"/>
            <w:left w:val="none" w:sz="0" w:space="0" w:color="auto"/>
            <w:bottom w:val="none" w:sz="0" w:space="0" w:color="auto"/>
            <w:right w:val="none" w:sz="0" w:space="0" w:color="auto"/>
          </w:divBdr>
        </w:div>
        <w:div w:id="2056080191">
          <w:marLeft w:val="2160"/>
          <w:marRight w:val="0"/>
          <w:marTop w:val="0"/>
          <w:marBottom w:val="0"/>
          <w:divBdr>
            <w:top w:val="none" w:sz="0" w:space="0" w:color="auto"/>
            <w:left w:val="none" w:sz="0" w:space="0" w:color="auto"/>
            <w:bottom w:val="none" w:sz="0" w:space="0" w:color="auto"/>
            <w:right w:val="none" w:sz="0" w:space="0" w:color="auto"/>
          </w:divBdr>
        </w:div>
        <w:div w:id="1134523902">
          <w:marLeft w:val="2160"/>
          <w:marRight w:val="0"/>
          <w:marTop w:val="0"/>
          <w:marBottom w:val="240"/>
          <w:divBdr>
            <w:top w:val="none" w:sz="0" w:space="0" w:color="auto"/>
            <w:left w:val="none" w:sz="0" w:space="0" w:color="auto"/>
            <w:bottom w:val="none" w:sz="0" w:space="0" w:color="auto"/>
            <w:right w:val="none" w:sz="0" w:space="0" w:color="auto"/>
          </w:divBdr>
        </w:div>
        <w:div w:id="1216236770">
          <w:marLeft w:val="2160"/>
          <w:marRight w:val="0"/>
          <w:marTop w:val="0"/>
          <w:marBottom w:val="0"/>
          <w:divBdr>
            <w:top w:val="none" w:sz="0" w:space="0" w:color="auto"/>
            <w:left w:val="none" w:sz="0" w:space="0" w:color="auto"/>
            <w:bottom w:val="none" w:sz="0" w:space="0" w:color="auto"/>
            <w:right w:val="none" w:sz="0" w:space="0" w:color="auto"/>
          </w:divBdr>
        </w:div>
        <w:div w:id="296106286">
          <w:marLeft w:val="1440"/>
          <w:marRight w:val="0"/>
          <w:marTop w:val="0"/>
          <w:marBottom w:val="0"/>
          <w:divBdr>
            <w:top w:val="none" w:sz="0" w:space="0" w:color="auto"/>
            <w:left w:val="none" w:sz="0" w:space="0" w:color="auto"/>
            <w:bottom w:val="none" w:sz="0" w:space="0" w:color="auto"/>
            <w:right w:val="none" w:sz="0" w:space="0" w:color="auto"/>
          </w:divBdr>
        </w:div>
        <w:div w:id="530387767">
          <w:marLeft w:val="2160"/>
          <w:marRight w:val="0"/>
          <w:marTop w:val="0"/>
          <w:marBottom w:val="0"/>
          <w:divBdr>
            <w:top w:val="none" w:sz="0" w:space="0" w:color="auto"/>
            <w:left w:val="none" w:sz="0" w:space="0" w:color="auto"/>
            <w:bottom w:val="none" w:sz="0" w:space="0" w:color="auto"/>
            <w:right w:val="none" w:sz="0" w:space="0" w:color="auto"/>
          </w:divBdr>
        </w:div>
        <w:div w:id="560141044">
          <w:marLeft w:val="2160"/>
          <w:marRight w:val="0"/>
          <w:marTop w:val="0"/>
          <w:marBottom w:val="0"/>
          <w:divBdr>
            <w:top w:val="none" w:sz="0" w:space="0" w:color="auto"/>
            <w:left w:val="none" w:sz="0" w:space="0" w:color="auto"/>
            <w:bottom w:val="none" w:sz="0" w:space="0" w:color="auto"/>
            <w:right w:val="none" w:sz="0" w:space="0" w:color="auto"/>
          </w:divBdr>
        </w:div>
        <w:div w:id="424113556">
          <w:marLeft w:val="2160"/>
          <w:marRight w:val="0"/>
          <w:marTop w:val="0"/>
          <w:marBottom w:val="0"/>
          <w:divBdr>
            <w:top w:val="none" w:sz="0" w:space="0" w:color="auto"/>
            <w:left w:val="none" w:sz="0" w:space="0" w:color="auto"/>
            <w:bottom w:val="none" w:sz="0" w:space="0" w:color="auto"/>
            <w:right w:val="none" w:sz="0" w:space="0" w:color="auto"/>
          </w:divBdr>
        </w:div>
      </w:divsChild>
    </w:div>
    <w:div w:id="174988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mail.smu.edu/owa/redir.aspx?C=0b440bec9629436fbe0238917774c7e7&amp;URL=http%3a%2f%2fwww.smu.edu%2falec%2fd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Mihaela</dc:creator>
  <cp:lastModifiedBy>Mihaela</cp:lastModifiedBy>
  <cp:revision>29</cp:revision>
  <dcterms:created xsi:type="dcterms:W3CDTF">2012-01-29T14:33:00Z</dcterms:created>
  <dcterms:modified xsi:type="dcterms:W3CDTF">2015-01-18T18:40:00Z</dcterms:modified>
</cp:coreProperties>
</file>