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870BC" w14:textId="2A0F12E5" w:rsidR="003E5848" w:rsidRDefault="00622E19" w:rsidP="00622E19">
      <w:pPr>
        <w:jc w:val="center"/>
        <w:rPr>
          <w:rFonts w:ascii="Aptos Black" w:hAnsi="Aptos Black"/>
          <w:sz w:val="26"/>
          <w:szCs w:val="26"/>
        </w:rPr>
      </w:pPr>
      <w:r w:rsidRPr="00622E19">
        <w:rPr>
          <w:rFonts w:ascii="Aptos Black" w:hAnsi="Aptos Black"/>
          <w:sz w:val="26"/>
          <w:szCs w:val="26"/>
        </w:rPr>
        <w:t>AsterPeak Software — Revenue Operations Executive Recommendations</w:t>
      </w:r>
    </w:p>
    <w:p w14:paraId="73B39F08" w14:textId="77777777" w:rsidR="00622E19" w:rsidRDefault="00622E19" w:rsidP="00622E19">
      <w:pPr>
        <w:rPr>
          <w:b/>
          <w:bCs/>
        </w:rPr>
      </w:pPr>
      <w:r w:rsidRPr="00622E19">
        <w:rPr>
          <w:b/>
          <w:bCs/>
        </w:rPr>
        <w:t>Purpose</w:t>
      </w:r>
    </w:p>
    <w:p w14:paraId="7E1CFDC3" w14:textId="76958649" w:rsidR="00622E19" w:rsidRPr="00622E19" w:rsidRDefault="00622E19" w:rsidP="00622E19">
      <w:r w:rsidRPr="00622E19">
        <w:t>This document summarizes the highest-priority Revenue Operations recommendations identified through AsterPeak Software’s CRM data analysis, pipeline audit, lead-routing review, forecast analysis, and Deal Desk governance assessment. The recommendations are designed to improve data quality, pipeline visibility, forecast confidence, marketing-to-sales execution, and commercial control while creating a repeatable operating model that can scale with the business.</w:t>
      </w:r>
    </w:p>
    <w:p w14:paraId="4CE8EAB8" w14:textId="2D5E442E" w:rsidR="00622E19" w:rsidRPr="00622E19" w:rsidRDefault="00622E19" w:rsidP="00622E19">
      <w:pPr>
        <w:pStyle w:val="ListParagraph"/>
        <w:numPr>
          <w:ilvl w:val="0"/>
          <w:numId w:val="1"/>
        </w:numPr>
        <w:rPr>
          <w:b/>
          <w:bCs/>
        </w:rPr>
      </w:pPr>
      <w:proofErr w:type="gramStart"/>
      <w:r w:rsidRPr="00622E19">
        <w:rPr>
          <w:b/>
          <w:bCs/>
        </w:rPr>
        <w:t>Strengthen</w:t>
      </w:r>
      <w:proofErr w:type="gramEnd"/>
      <w:r w:rsidRPr="00622E19">
        <w:rPr>
          <w:b/>
          <w:bCs/>
        </w:rPr>
        <w:t xml:space="preserve"> CRM Data Governance</w:t>
      </w:r>
    </w:p>
    <w:p w14:paraId="4721230D" w14:textId="77777777" w:rsidR="00622E19" w:rsidRPr="00622E19" w:rsidRDefault="00622E19" w:rsidP="00622E19">
      <w:pPr>
        <w:pStyle w:val="NormalWeb"/>
        <w:rPr>
          <w:rFonts w:asciiTheme="minorHAnsi" w:hAnsiTheme="minorHAnsi"/>
        </w:rPr>
      </w:pPr>
      <w:r w:rsidRPr="00622E19">
        <w:rPr>
          <w:rFonts w:asciiTheme="minorHAnsi" w:hAnsiTheme="minorHAnsi"/>
        </w:rPr>
        <w:t xml:space="preserve">AsterPeak should establish a formal CRM governance framework that defines required fields, ownership standards, routing logic, and recurring data-quality reviews across Salesforce and HubSpot. The analysis identified missing and inconsistent </w:t>
      </w:r>
      <w:proofErr w:type="gramStart"/>
      <w:r w:rsidRPr="00622E19">
        <w:rPr>
          <w:rFonts w:asciiTheme="minorHAnsi" w:hAnsiTheme="minorHAnsi"/>
        </w:rPr>
        <w:t>account</w:t>
      </w:r>
      <w:proofErr w:type="gramEnd"/>
      <w:r w:rsidRPr="00622E19">
        <w:rPr>
          <w:rFonts w:asciiTheme="minorHAnsi" w:hAnsiTheme="minorHAnsi"/>
        </w:rPr>
        <w:t>, lead, and opportunity data that can reduce reporting reliability and create downstream routing and forecasting issues.</w:t>
      </w:r>
    </w:p>
    <w:p w14:paraId="5D4A7387" w14:textId="77777777" w:rsidR="00622E19" w:rsidRPr="00622E19" w:rsidRDefault="00622E19" w:rsidP="00622E19">
      <w:pPr>
        <w:pStyle w:val="NormalWeb"/>
        <w:rPr>
          <w:rFonts w:asciiTheme="minorHAnsi" w:hAnsiTheme="minorHAnsi"/>
        </w:rPr>
      </w:pPr>
      <w:r w:rsidRPr="00622E19">
        <w:rPr>
          <w:rFonts w:asciiTheme="minorHAnsi" w:hAnsiTheme="minorHAnsi"/>
        </w:rPr>
        <w:t>Salesforce preventative controls should continue to be used for fields that must be completed before an opportunity can progress. These controls should be supported by recurring RevOps audits for issues that cannot be fully prevented through validation rules, including incorrect ownership, territory mismatches, segmentation errors, missing source attribution, and incomplete account information.</w:t>
      </w:r>
    </w:p>
    <w:p w14:paraId="0C3ED8AA" w14:textId="77777777" w:rsidR="00622E19" w:rsidRPr="00622E19" w:rsidRDefault="00622E19" w:rsidP="00622E19">
      <w:pPr>
        <w:pStyle w:val="NormalWeb"/>
        <w:rPr>
          <w:rFonts w:asciiTheme="minorHAnsi" w:hAnsiTheme="minorHAnsi"/>
        </w:rPr>
      </w:pPr>
      <w:r w:rsidRPr="00622E19">
        <w:rPr>
          <w:rFonts w:asciiTheme="minorHAnsi" w:hAnsiTheme="minorHAnsi"/>
        </w:rPr>
        <w:t>Account segmentation should remain based on employee count using AsterPeak’s defined SMB, Mid-Market, Upper Mid-Market, Outside Target, and Management Review thresholds. Territory and ownership assignments should be evaluated against those segmentation rules to identify exceptions before they affect reporting or sales execution.</w:t>
      </w:r>
    </w:p>
    <w:p w14:paraId="796185FD" w14:textId="52CF5BB5" w:rsidR="00622E19" w:rsidRPr="00622E19" w:rsidRDefault="00622E19" w:rsidP="00622E19">
      <w:pPr>
        <w:pStyle w:val="NormalWeb"/>
        <w:rPr>
          <w:rFonts w:asciiTheme="minorHAnsi" w:hAnsiTheme="minorHAnsi"/>
        </w:rPr>
      </w:pPr>
      <w:r w:rsidRPr="00622E19">
        <w:rPr>
          <w:rFonts w:asciiTheme="minorHAnsi" w:hAnsiTheme="minorHAnsi"/>
        </w:rPr>
        <w:t>The goal should be to move CRM governance from periodic cleanup to an ongoing operating discipline in which errors are prevented where possible, surfaced quickly when they occur, and assigned to a clear owner for resolution.</w:t>
      </w:r>
    </w:p>
    <w:p w14:paraId="1E817594" w14:textId="7EB7E57B" w:rsidR="00622E19" w:rsidRPr="00622E19" w:rsidRDefault="00622E19" w:rsidP="00622E19">
      <w:pPr>
        <w:pStyle w:val="ListParagraph"/>
        <w:numPr>
          <w:ilvl w:val="0"/>
          <w:numId w:val="1"/>
        </w:numPr>
        <w:rPr>
          <w:b/>
          <w:bCs/>
        </w:rPr>
      </w:pPr>
      <w:r w:rsidRPr="00622E19">
        <w:rPr>
          <w:b/>
          <w:bCs/>
        </w:rPr>
        <w:t>Improve Pipeline Hygiene and Forecast Reliability</w:t>
      </w:r>
    </w:p>
    <w:p w14:paraId="003F6DE8" w14:textId="77777777" w:rsidR="00622E19" w:rsidRPr="00622E19" w:rsidRDefault="00622E19" w:rsidP="00622E19">
      <w:pPr>
        <w:pStyle w:val="NormalWeb"/>
        <w:rPr>
          <w:rFonts w:asciiTheme="minorHAnsi" w:hAnsiTheme="minorHAnsi"/>
        </w:rPr>
      </w:pPr>
      <w:r w:rsidRPr="00622E19">
        <w:rPr>
          <w:rFonts w:asciiTheme="minorHAnsi" w:hAnsiTheme="minorHAnsi"/>
        </w:rPr>
        <w:t>AsterPeak should implement a recurring pipeline-governance process focused on stale opportunities, overdue close dates, missing required fields, stage accuracy, and forecast-category alignment.</w:t>
      </w:r>
    </w:p>
    <w:p w14:paraId="1C681C13" w14:textId="77777777" w:rsidR="00622E19" w:rsidRPr="00622E19" w:rsidRDefault="00622E19" w:rsidP="00622E19">
      <w:pPr>
        <w:pStyle w:val="NormalWeb"/>
        <w:rPr>
          <w:rFonts w:asciiTheme="minorHAnsi" w:hAnsiTheme="minorHAnsi"/>
        </w:rPr>
      </w:pPr>
      <w:r w:rsidRPr="00622E19">
        <w:rPr>
          <w:rFonts w:asciiTheme="minorHAnsi" w:hAnsiTheme="minorHAnsi"/>
        </w:rPr>
        <w:t xml:space="preserve">The open-pipeline analysis identified </w:t>
      </w:r>
      <w:r w:rsidRPr="00622E19">
        <w:rPr>
          <w:rStyle w:val="Strong"/>
          <w:rFonts w:asciiTheme="minorHAnsi" w:hAnsiTheme="minorHAnsi"/>
        </w:rPr>
        <w:t>53 opportunities representing approximately $2.05 million in ARR at risk</w:t>
      </w:r>
      <w:r w:rsidRPr="00622E19">
        <w:rPr>
          <w:rFonts w:asciiTheme="minorHAnsi" w:hAnsiTheme="minorHAnsi"/>
        </w:rPr>
        <w:t xml:space="preserve">, or roughly </w:t>
      </w:r>
      <w:r w:rsidRPr="00622E19">
        <w:rPr>
          <w:rStyle w:val="Strong"/>
          <w:rFonts w:asciiTheme="minorHAnsi" w:hAnsiTheme="minorHAnsi"/>
        </w:rPr>
        <w:t>34% of total open pipeline ARR</w:t>
      </w:r>
      <w:r w:rsidRPr="00622E19">
        <w:rPr>
          <w:rFonts w:asciiTheme="minorHAnsi" w:hAnsiTheme="minorHAnsi"/>
        </w:rPr>
        <w:t>. These opportunities were stale, overdue, or both, indicating that a meaningful portion of reported pipeline requires seller review before it should be relied upon for forecasting.</w:t>
      </w:r>
    </w:p>
    <w:p w14:paraId="6109C09F" w14:textId="77777777" w:rsidR="00622E19" w:rsidRPr="00622E19" w:rsidRDefault="00622E19" w:rsidP="00622E19">
      <w:pPr>
        <w:pStyle w:val="NormalWeb"/>
        <w:rPr>
          <w:rFonts w:asciiTheme="minorHAnsi" w:hAnsiTheme="minorHAnsi"/>
        </w:rPr>
      </w:pPr>
      <w:r w:rsidRPr="00622E19">
        <w:rPr>
          <w:rFonts w:asciiTheme="minorHAnsi" w:hAnsiTheme="minorHAnsi"/>
        </w:rPr>
        <w:lastRenderedPageBreak/>
        <w:t>Revenue Operations should run a structured pipeline review with Sales Leadership in which flagged opportunities are either updated, requalified, progressed, moved to a more accurate stage, assigned a new close date, or closed when they are no longer active. Sellers should be responsible for maintaining accurate Next Step, Lead Source, expected close date, activity, and stage information.</w:t>
      </w:r>
    </w:p>
    <w:p w14:paraId="4E2F7312" w14:textId="77777777" w:rsidR="00622E19" w:rsidRPr="00622E19" w:rsidRDefault="00622E19" w:rsidP="00622E19">
      <w:pPr>
        <w:pStyle w:val="NormalWeb"/>
        <w:rPr>
          <w:rFonts w:asciiTheme="minorHAnsi" w:hAnsiTheme="minorHAnsi"/>
        </w:rPr>
      </w:pPr>
      <w:r w:rsidRPr="00622E19">
        <w:rPr>
          <w:rFonts w:asciiTheme="minorHAnsi" w:hAnsiTheme="minorHAnsi"/>
        </w:rPr>
        <w:t xml:space="preserve">Forecast-category alignment is already relatively strong, with approximately </w:t>
      </w:r>
      <w:r w:rsidRPr="00622E19">
        <w:rPr>
          <w:rStyle w:val="Strong"/>
          <w:rFonts w:asciiTheme="minorHAnsi" w:hAnsiTheme="minorHAnsi"/>
        </w:rPr>
        <w:t>95.7% of analyzed forecast snapshots aligned with expected stage-based categories</w:t>
      </w:r>
      <w:r w:rsidRPr="00622E19">
        <w:rPr>
          <w:rFonts w:asciiTheme="minorHAnsi" w:hAnsiTheme="minorHAnsi"/>
        </w:rPr>
        <w:t xml:space="preserve">. The remaining exceptions should still be surfaced because even a small number of optimistic or conservative classifications can distort management visibility when concentrated </w:t>
      </w:r>
      <w:proofErr w:type="gramStart"/>
      <w:r w:rsidRPr="00622E19">
        <w:rPr>
          <w:rFonts w:asciiTheme="minorHAnsi" w:hAnsiTheme="minorHAnsi"/>
        </w:rPr>
        <w:t>in</w:t>
      </w:r>
      <w:proofErr w:type="gramEnd"/>
      <w:r w:rsidRPr="00622E19">
        <w:rPr>
          <w:rFonts w:asciiTheme="minorHAnsi" w:hAnsiTheme="minorHAnsi"/>
        </w:rPr>
        <w:t xml:space="preserve"> larger opportunities.</w:t>
      </w:r>
    </w:p>
    <w:p w14:paraId="3FCEE1C4" w14:textId="7BF704B4" w:rsidR="00622E19" w:rsidRPr="00622E19" w:rsidRDefault="00622E19" w:rsidP="00622E19">
      <w:pPr>
        <w:pStyle w:val="NormalWeb"/>
        <w:rPr>
          <w:rFonts w:asciiTheme="minorHAnsi" w:hAnsiTheme="minorHAnsi"/>
        </w:rPr>
      </w:pPr>
      <w:r w:rsidRPr="00622E19">
        <w:rPr>
          <w:rFonts w:asciiTheme="minorHAnsi" w:hAnsiTheme="minorHAnsi"/>
        </w:rPr>
        <w:t>The objective is not simply cleaner Salesforce records. It is a pipeline that leadership can use with greater confidence when making hiring, capacity, revenue, and forecasting decisions.</w:t>
      </w:r>
    </w:p>
    <w:p w14:paraId="67887559" w14:textId="711C310F" w:rsidR="00622E19" w:rsidRPr="00622E19" w:rsidRDefault="00622E19" w:rsidP="00622E19">
      <w:pPr>
        <w:pStyle w:val="ListParagraph"/>
        <w:numPr>
          <w:ilvl w:val="0"/>
          <w:numId w:val="1"/>
        </w:numPr>
        <w:rPr>
          <w:b/>
          <w:bCs/>
        </w:rPr>
      </w:pPr>
      <w:r w:rsidRPr="00622E19">
        <w:rPr>
          <w:b/>
          <w:bCs/>
        </w:rPr>
        <w:t>Formalize Marketing-to-Sales Handoff</w:t>
      </w:r>
    </w:p>
    <w:p w14:paraId="0DC65D8C" w14:textId="77777777" w:rsidR="00622E19" w:rsidRPr="00622E19" w:rsidRDefault="00622E19" w:rsidP="00622E19">
      <w:pPr>
        <w:pStyle w:val="NormalWeb"/>
        <w:rPr>
          <w:rFonts w:asciiTheme="minorHAnsi" w:hAnsiTheme="minorHAnsi"/>
        </w:rPr>
      </w:pPr>
      <w:r w:rsidRPr="00622E19">
        <w:rPr>
          <w:rFonts w:asciiTheme="minorHAnsi" w:hAnsiTheme="minorHAnsi"/>
        </w:rPr>
        <w:t>AsterPeak should formalize the Marketing-to-Sales handoff around clearly defined MQL criteria, segment-and-territory routing rules, ownership responsibilities, and an enforceable response-time expectation.</w:t>
      </w:r>
    </w:p>
    <w:p w14:paraId="0DFF716B" w14:textId="77777777" w:rsidR="00622E19" w:rsidRPr="00622E19" w:rsidRDefault="00622E19" w:rsidP="00622E19">
      <w:pPr>
        <w:pStyle w:val="NormalWeb"/>
        <w:rPr>
          <w:rFonts w:asciiTheme="minorHAnsi" w:hAnsiTheme="minorHAnsi"/>
        </w:rPr>
      </w:pPr>
      <w:r w:rsidRPr="00622E19">
        <w:rPr>
          <w:rFonts w:asciiTheme="minorHAnsi" w:hAnsiTheme="minorHAnsi"/>
        </w:rPr>
        <w:t xml:space="preserve">The lead-routing audit showed that approximately </w:t>
      </w:r>
      <w:r w:rsidRPr="00622E19">
        <w:rPr>
          <w:rStyle w:val="Strong"/>
          <w:rFonts w:asciiTheme="minorHAnsi" w:hAnsiTheme="minorHAnsi"/>
        </w:rPr>
        <w:t>87.5% of leads were compatible with the expected routing model</w:t>
      </w:r>
      <w:r w:rsidRPr="00622E19">
        <w:rPr>
          <w:rFonts w:asciiTheme="minorHAnsi" w:hAnsiTheme="minorHAnsi"/>
        </w:rPr>
        <w:t>, while the remaining population contained exceptions such as unassigned leads, incorrect AE territory, incorrect segment assignment, and missing segmentation or territory information. These exceptions create the risk that qualified demand reaches the wrong seller, receives delayed follow-up, or becomes difficult to attribute accurately.</w:t>
      </w:r>
    </w:p>
    <w:p w14:paraId="1BAEDA22" w14:textId="77777777" w:rsidR="00622E19" w:rsidRPr="00622E19" w:rsidRDefault="00622E19" w:rsidP="00622E19">
      <w:pPr>
        <w:pStyle w:val="NormalWeb"/>
        <w:rPr>
          <w:rFonts w:asciiTheme="minorHAnsi" w:hAnsiTheme="minorHAnsi"/>
        </w:rPr>
      </w:pPr>
      <w:r w:rsidRPr="00622E19">
        <w:rPr>
          <w:rFonts w:asciiTheme="minorHAnsi" w:hAnsiTheme="minorHAnsi"/>
        </w:rPr>
        <w:t>HubSpot should remain the primary platform for early marketing activity, lead nurturing, scoring, and MQL creation. Salesforce should become the primary sales system of record once the lead is converted. Marketing Operations and Revenue Operations should jointly monitor synchronization and routing exceptions between the two systems.</w:t>
      </w:r>
    </w:p>
    <w:p w14:paraId="1DF3100A" w14:textId="77777777" w:rsidR="00622E19" w:rsidRPr="00622E19" w:rsidRDefault="00622E19" w:rsidP="00622E19">
      <w:pPr>
        <w:pStyle w:val="NormalWeb"/>
        <w:rPr>
          <w:rFonts w:asciiTheme="minorHAnsi" w:hAnsiTheme="minorHAnsi"/>
        </w:rPr>
      </w:pPr>
      <w:r w:rsidRPr="00622E19">
        <w:rPr>
          <w:rFonts w:asciiTheme="minorHAnsi" w:hAnsiTheme="minorHAnsi"/>
        </w:rPr>
        <w:t xml:space="preserve">Qualified MQLs should be routed according to both customer segment and territory, with an initial sales follow-up target of </w:t>
      </w:r>
      <w:r w:rsidRPr="00622E19">
        <w:rPr>
          <w:rStyle w:val="Strong"/>
          <w:rFonts w:asciiTheme="minorHAnsi" w:hAnsiTheme="minorHAnsi"/>
        </w:rPr>
        <w:t>four business hours</w:t>
      </w:r>
      <w:r w:rsidRPr="00622E19">
        <w:rPr>
          <w:rFonts w:asciiTheme="minorHAnsi" w:hAnsiTheme="minorHAnsi"/>
        </w:rPr>
        <w:t>. Leads that cannot immediately be reached should remain in an active follow-up sequence rather than being prematurely disqualified.</w:t>
      </w:r>
    </w:p>
    <w:p w14:paraId="17C163BE" w14:textId="353156C4" w:rsidR="00622E19" w:rsidRPr="00622E19" w:rsidRDefault="00622E19" w:rsidP="00622E19">
      <w:pPr>
        <w:pStyle w:val="NormalWeb"/>
        <w:rPr>
          <w:rFonts w:asciiTheme="minorHAnsi" w:hAnsiTheme="minorHAnsi"/>
        </w:rPr>
      </w:pPr>
      <w:r w:rsidRPr="00622E19">
        <w:rPr>
          <w:rFonts w:asciiTheme="minorHAnsi" w:hAnsiTheme="minorHAnsi"/>
        </w:rPr>
        <w:t>A clearly governed handoff process should improve speed-to-lead, reduce ownership ambiguity, and provide more reliable visibility into funnel conversion from marketing engagement through qualified pipeline.</w:t>
      </w:r>
    </w:p>
    <w:p w14:paraId="0BB8D83F" w14:textId="77777777" w:rsidR="00622E19" w:rsidRDefault="00622E19" w:rsidP="00622E19">
      <w:pPr>
        <w:rPr>
          <w:b/>
          <w:bCs/>
        </w:rPr>
      </w:pPr>
    </w:p>
    <w:p w14:paraId="790AB537" w14:textId="7573D35B" w:rsidR="00622E19" w:rsidRPr="00622E19" w:rsidRDefault="00622E19" w:rsidP="00622E19">
      <w:pPr>
        <w:pStyle w:val="ListParagraph"/>
        <w:numPr>
          <w:ilvl w:val="0"/>
          <w:numId w:val="1"/>
        </w:numPr>
        <w:rPr>
          <w:b/>
          <w:bCs/>
        </w:rPr>
      </w:pPr>
      <w:r w:rsidRPr="00622E19">
        <w:rPr>
          <w:b/>
          <w:bCs/>
        </w:rPr>
        <w:lastRenderedPageBreak/>
        <w:t>Enforce Commercial Governance Through Deal Desk</w:t>
      </w:r>
    </w:p>
    <w:p w14:paraId="07E5A07A" w14:textId="77777777" w:rsidR="00622E19" w:rsidRPr="00622E19" w:rsidRDefault="00622E19" w:rsidP="00622E19">
      <w:pPr>
        <w:pStyle w:val="NormalWeb"/>
        <w:rPr>
          <w:rFonts w:asciiTheme="minorHAnsi" w:hAnsiTheme="minorHAnsi"/>
        </w:rPr>
      </w:pPr>
      <w:r w:rsidRPr="00622E19">
        <w:rPr>
          <w:rFonts w:asciiTheme="minorHAnsi" w:hAnsiTheme="minorHAnsi"/>
        </w:rPr>
        <w:t>AsterPeak should formalize Deal Desk as the required commercial approval process for deals that introduce material pricing, financial, contractual, or operational risk.</w:t>
      </w:r>
    </w:p>
    <w:p w14:paraId="0F4A0EE9" w14:textId="77777777" w:rsidR="00622E19" w:rsidRPr="00622E19" w:rsidRDefault="00622E19" w:rsidP="00622E19">
      <w:pPr>
        <w:pStyle w:val="NormalWeb"/>
        <w:rPr>
          <w:rFonts w:asciiTheme="minorHAnsi" w:hAnsiTheme="minorHAnsi"/>
        </w:rPr>
      </w:pPr>
      <w:r w:rsidRPr="00622E19">
        <w:rPr>
          <w:rFonts w:asciiTheme="minorHAnsi" w:hAnsiTheme="minorHAnsi"/>
        </w:rPr>
        <w:t xml:space="preserve">The historical audit identified </w:t>
      </w:r>
      <w:r w:rsidRPr="00622E19">
        <w:rPr>
          <w:rStyle w:val="Strong"/>
          <w:rFonts w:asciiTheme="minorHAnsi" w:hAnsiTheme="minorHAnsi"/>
        </w:rPr>
        <w:t>150 closed opportunities that met Deal Desk review criteria</w:t>
      </w:r>
      <w:r w:rsidRPr="00622E19">
        <w:rPr>
          <w:rFonts w:asciiTheme="minorHAnsi" w:hAnsiTheme="minorHAnsi"/>
        </w:rPr>
        <w:t xml:space="preserve">, but only </w:t>
      </w:r>
      <w:r w:rsidRPr="00622E19">
        <w:rPr>
          <w:rStyle w:val="Strong"/>
          <w:rFonts w:asciiTheme="minorHAnsi" w:hAnsiTheme="minorHAnsi"/>
        </w:rPr>
        <w:t>61 had identifiable approval evidence</w:t>
      </w:r>
      <w:r w:rsidRPr="00622E19">
        <w:rPr>
          <w:rFonts w:asciiTheme="minorHAnsi" w:hAnsiTheme="minorHAnsi"/>
        </w:rPr>
        <w:t xml:space="preserve">, representing approximately </w:t>
      </w:r>
      <w:r w:rsidRPr="00622E19">
        <w:rPr>
          <w:rStyle w:val="Strong"/>
          <w:rFonts w:asciiTheme="minorHAnsi" w:hAnsiTheme="minorHAnsi"/>
        </w:rPr>
        <w:t>40.7% approval coverage</w:t>
      </w:r>
      <w:r w:rsidRPr="00622E19">
        <w:rPr>
          <w:rFonts w:asciiTheme="minorHAnsi" w:hAnsiTheme="minorHAnsi"/>
        </w:rPr>
        <w:t xml:space="preserve">. The remaining </w:t>
      </w:r>
      <w:r w:rsidRPr="00622E19">
        <w:rPr>
          <w:rStyle w:val="Strong"/>
          <w:rFonts w:asciiTheme="minorHAnsi" w:hAnsiTheme="minorHAnsi"/>
        </w:rPr>
        <w:t>89 deals</w:t>
      </w:r>
      <w:r w:rsidRPr="00622E19">
        <w:rPr>
          <w:rFonts w:asciiTheme="minorHAnsi" w:hAnsiTheme="minorHAnsi"/>
        </w:rPr>
        <w:t xml:space="preserve"> demonstrate a significant documentation and governance gap even when approval may have occurred outside the CRM.</w:t>
      </w:r>
    </w:p>
    <w:p w14:paraId="272AC907" w14:textId="77777777" w:rsidR="00622E19" w:rsidRPr="00622E19" w:rsidRDefault="00622E19" w:rsidP="00622E19">
      <w:pPr>
        <w:pStyle w:val="NormalWeb"/>
        <w:rPr>
          <w:rFonts w:asciiTheme="minorHAnsi" w:hAnsiTheme="minorHAnsi"/>
        </w:rPr>
      </w:pPr>
      <w:r w:rsidRPr="00622E19">
        <w:rPr>
          <w:rFonts w:asciiTheme="minorHAnsi" w:hAnsiTheme="minorHAnsi"/>
        </w:rPr>
        <w:t xml:space="preserve">The Salesforce governance model should therefore remain the central control point. Deals requiring review should be automatically identified based on discount level, Net ARR, payment terms, billing schedule, custom pricing, contract exceptions, implementation discounts, or customer-size boundaries. </w:t>
      </w:r>
      <w:proofErr w:type="gramStart"/>
      <w:r w:rsidRPr="00622E19">
        <w:rPr>
          <w:rFonts w:asciiTheme="minorHAnsi" w:hAnsiTheme="minorHAnsi"/>
        </w:rPr>
        <w:t>Other material</w:t>
      </w:r>
      <w:proofErr w:type="gramEnd"/>
      <w:r w:rsidRPr="00622E19">
        <w:rPr>
          <w:rFonts w:asciiTheme="minorHAnsi" w:hAnsiTheme="minorHAnsi"/>
        </w:rPr>
        <w:t xml:space="preserve"> commercial risks should remain eligible for manual Deal Desk escalation.</w:t>
      </w:r>
    </w:p>
    <w:p w14:paraId="2F6ED6DA" w14:textId="77777777" w:rsidR="00622E19" w:rsidRPr="00622E19" w:rsidRDefault="00622E19" w:rsidP="00622E19">
      <w:pPr>
        <w:pStyle w:val="NormalWeb"/>
        <w:rPr>
          <w:rFonts w:asciiTheme="minorHAnsi" w:hAnsiTheme="minorHAnsi"/>
        </w:rPr>
      </w:pPr>
      <w:r w:rsidRPr="00622E19">
        <w:rPr>
          <w:rFonts w:asciiTheme="minorHAnsi" w:hAnsiTheme="minorHAnsi"/>
        </w:rPr>
        <w:t>Approval decisions should be recorded directly in Salesforce using the established Not Required, Pending, Approved, and Rejected statuses. When Deal Desk Required is true, Salesforce should continue to prevent progression to Commit or Closed Won until the approval status is Approved.</w:t>
      </w:r>
    </w:p>
    <w:p w14:paraId="0DCFBC34" w14:textId="012748F8" w:rsidR="00622E19" w:rsidRPr="00622E19" w:rsidRDefault="00622E19" w:rsidP="00622E19">
      <w:pPr>
        <w:pStyle w:val="NormalWeb"/>
        <w:rPr>
          <w:rFonts w:asciiTheme="minorHAnsi" w:hAnsiTheme="minorHAnsi"/>
        </w:rPr>
      </w:pPr>
      <w:r w:rsidRPr="00622E19">
        <w:rPr>
          <w:rFonts w:asciiTheme="minorHAnsi" w:hAnsiTheme="minorHAnsi"/>
        </w:rPr>
        <w:t>This creates an auditable commercial process in which exceptions are reviewed before revenue is committed rather than reconstructed after the fact. It also improves consistency across Sales, RevOps, Finance, and Legal while reducing the risk of unauthorized or poorly documented commercial concessions.</w:t>
      </w:r>
    </w:p>
    <w:p w14:paraId="2AD6EFAD" w14:textId="63CFB8A8" w:rsidR="00622E19" w:rsidRPr="00622E19" w:rsidRDefault="00622E19" w:rsidP="00622E19">
      <w:pPr>
        <w:pStyle w:val="ListParagraph"/>
        <w:numPr>
          <w:ilvl w:val="0"/>
          <w:numId w:val="1"/>
        </w:numPr>
        <w:rPr>
          <w:b/>
          <w:bCs/>
        </w:rPr>
      </w:pPr>
      <w:r w:rsidRPr="00622E19">
        <w:rPr>
          <w:b/>
          <w:bCs/>
        </w:rPr>
        <w:t>Establish Ongoing RevOps Operating Cadence</w:t>
      </w:r>
    </w:p>
    <w:p w14:paraId="1F9CC443" w14:textId="77777777" w:rsidR="00622E19" w:rsidRPr="00622E19" w:rsidRDefault="00622E19" w:rsidP="00622E19">
      <w:pPr>
        <w:pStyle w:val="NormalWeb"/>
        <w:rPr>
          <w:rFonts w:asciiTheme="minorHAnsi" w:hAnsiTheme="minorHAnsi"/>
        </w:rPr>
      </w:pPr>
      <w:r w:rsidRPr="00622E19">
        <w:rPr>
          <w:rFonts w:asciiTheme="minorHAnsi" w:hAnsiTheme="minorHAnsi"/>
        </w:rPr>
        <w:t>AsterPeak should convert the controls developed in this project into a recurring Revenue Operations operating cadence rather than treating them as one-time cleanup activities.</w:t>
      </w:r>
    </w:p>
    <w:p w14:paraId="5C220AC4" w14:textId="77777777" w:rsidR="00622E19" w:rsidRPr="00622E19" w:rsidRDefault="00622E19" w:rsidP="00622E19">
      <w:pPr>
        <w:pStyle w:val="NormalWeb"/>
        <w:rPr>
          <w:rFonts w:asciiTheme="minorHAnsi" w:hAnsiTheme="minorHAnsi"/>
        </w:rPr>
      </w:pPr>
      <w:r w:rsidRPr="00622E19">
        <w:rPr>
          <w:rFonts w:asciiTheme="minorHAnsi" w:hAnsiTheme="minorHAnsi"/>
        </w:rPr>
        <w:t>A weekly pipeline review should focus on stale and overdue opportunities, stage accuracy, close-date movement, missing Next Steps, and material forecast exceptions. Lead-routing and CRM data-quality exceptions should be reviewed regularly by Revenue Operations and Marketing Operations so that recurring assignment or synchronization problems can be corrected at the source.</w:t>
      </w:r>
    </w:p>
    <w:p w14:paraId="2103E589" w14:textId="77777777" w:rsidR="00622E19" w:rsidRPr="00622E19" w:rsidRDefault="00622E19" w:rsidP="00622E19">
      <w:pPr>
        <w:pStyle w:val="NormalWeb"/>
        <w:rPr>
          <w:rFonts w:asciiTheme="minorHAnsi" w:hAnsiTheme="minorHAnsi"/>
        </w:rPr>
      </w:pPr>
      <w:r w:rsidRPr="00622E19">
        <w:rPr>
          <w:rFonts w:asciiTheme="minorHAnsi" w:hAnsiTheme="minorHAnsi"/>
        </w:rPr>
        <w:t>Deal Desk activity should also be reviewed periodically to identify approval bottlenecks, unusually high discounting, repeated nonstandard terms, and opportunities that reached advanced stages without complete approval documentation.</w:t>
      </w:r>
    </w:p>
    <w:p w14:paraId="2D897490" w14:textId="77777777" w:rsidR="00622E19" w:rsidRPr="00622E19" w:rsidRDefault="00622E19" w:rsidP="00622E19">
      <w:pPr>
        <w:pStyle w:val="NormalWeb"/>
        <w:rPr>
          <w:rFonts w:asciiTheme="minorHAnsi" w:hAnsiTheme="minorHAnsi"/>
        </w:rPr>
      </w:pPr>
      <w:r w:rsidRPr="00622E19">
        <w:rPr>
          <w:rFonts w:asciiTheme="minorHAnsi" w:hAnsiTheme="minorHAnsi"/>
        </w:rPr>
        <w:t xml:space="preserve">Revenue Operations should use the Salesforce governance dashboard, Power BI reporting, and </w:t>
      </w:r>
      <w:proofErr w:type="gramStart"/>
      <w:r w:rsidRPr="00622E19">
        <w:rPr>
          <w:rFonts w:asciiTheme="minorHAnsi" w:hAnsiTheme="minorHAnsi"/>
        </w:rPr>
        <w:t>supporting</w:t>
      </w:r>
      <w:proofErr w:type="gramEnd"/>
      <w:r w:rsidRPr="00622E19">
        <w:rPr>
          <w:rFonts w:asciiTheme="minorHAnsi" w:hAnsiTheme="minorHAnsi"/>
        </w:rPr>
        <w:t xml:space="preserve"> audit outputs as complementary tools. Salesforce should support </w:t>
      </w:r>
      <w:r w:rsidRPr="00622E19">
        <w:rPr>
          <w:rFonts w:asciiTheme="minorHAnsi" w:hAnsiTheme="minorHAnsi"/>
        </w:rPr>
        <w:lastRenderedPageBreak/>
        <w:t>operational action and record-level governance, while Power BI should provide broader analytical visibility into trends, risk, and executive performance.</w:t>
      </w:r>
    </w:p>
    <w:p w14:paraId="0D499035" w14:textId="77777777" w:rsidR="00622E19" w:rsidRPr="00622E19" w:rsidRDefault="00622E19" w:rsidP="00622E19">
      <w:pPr>
        <w:pStyle w:val="NormalWeb"/>
        <w:rPr>
          <w:rFonts w:asciiTheme="minorHAnsi" w:hAnsiTheme="minorHAnsi"/>
        </w:rPr>
      </w:pPr>
      <w:r w:rsidRPr="00622E19">
        <w:rPr>
          <w:rFonts w:asciiTheme="minorHAnsi" w:hAnsiTheme="minorHAnsi"/>
        </w:rPr>
        <w:t>The long-term goal is to establish a closed-loop operating model in which data-quality issues, pipeline risk, routing exceptions, forecast misalignment, and commercial exceptions are continuously identified, assigned, corrected, and monitored.</w:t>
      </w:r>
    </w:p>
    <w:p w14:paraId="12B57A85" w14:textId="77777777" w:rsidR="00622E19" w:rsidRPr="00622E19" w:rsidRDefault="00622E19" w:rsidP="00622E19">
      <w:r w:rsidRPr="00622E19">
        <w:rPr>
          <w:b/>
          <w:bCs/>
        </w:rPr>
        <w:t>Expected Business Impact</w:t>
      </w:r>
    </w:p>
    <w:p w14:paraId="3B3D4B86" w14:textId="77777777" w:rsidR="00622E19" w:rsidRPr="00622E19" w:rsidRDefault="00622E19" w:rsidP="00622E19">
      <w:r w:rsidRPr="00622E19">
        <w:t>Implementing these recommendations would give AsterPeak a more reliable and scalable revenue operating model. Improved CRM governance should increase confidence in reporting and reduce manual cleanup. Stronger pipeline controls should make forecast discussions more focused on legitimate revenue opportunities rather than outdated or incomplete records. Formalized lead routing and response standards should reduce ownership ambiguity and improve the consistency of Marketing-to-Sales execution.</w:t>
      </w:r>
    </w:p>
    <w:p w14:paraId="39873251" w14:textId="77777777" w:rsidR="00622E19" w:rsidRPr="00622E19" w:rsidRDefault="00622E19" w:rsidP="00622E19">
      <w:r w:rsidRPr="00622E19">
        <w:t>The Deal Desk framework should increase approval traceability and reduce commercial risk by ensuring that nonstandard terms are reviewed before opportunities reach Commit or Closed Won. A recurring RevOps operating cadence would connect these controls into a sustainable management process rather than a collection of isolated dashboards and rules.</w:t>
      </w:r>
    </w:p>
    <w:p w14:paraId="12A210B7" w14:textId="77777777" w:rsidR="00622E19" w:rsidRPr="00622E19" w:rsidRDefault="00622E19" w:rsidP="00622E19">
      <w:r w:rsidRPr="00622E19">
        <w:t xml:space="preserve">Taken together, these changes should provide leadership with </w:t>
      </w:r>
      <w:r w:rsidRPr="00622E19">
        <w:rPr>
          <w:b/>
          <w:bCs/>
        </w:rPr>
        <w:t>cleaner data, more credible pipeline, more consistent sales execution, stronger commercial controls, and greater confidence in revenue reporting and decision-making.</w:t>
      </w:r>
    </w:p>
    <w:p w14:paraId="6E5C30A7" w14:textId="77777777" w:rsidR="00622E19" w:rsidRPr="00622E19" w:rsidRDefault="00622E19" w:rsidP="00622E19"/>
    <w:p w14:paraId="07B0B0B0" w14:textId="77777777" w:rsidR="00622E19" w:rsidRPr="00622E19" w:rsidRDefault="00622E19" w:rsidP="00622E19"/>
    <w:p w14:paraId="54DDEA4F" w14:textId="77777777" w:rsidR="00622E19" w:rsidRPr="00622E19" w:rsidRDefault="00622E19" w:rsidP="00622E19">
      <w:pPr>
        <w:jc w:val="center"/>
        <w:rPr>
          <w:rFonts w:ascii="Aptos Black" w:hAnsi="Aptos Black"/>
          <w:sz w:val="26"/>
          <w:szCs w:val="26"/>
        </w:rPr>
      </w:pPr>
    </w:p>
    <w:sectPr w:rsidR="00622E19" w:rsidRPr="00622E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Black">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D10C2B"/>
    <w:multiLevelType w:val="hybridMultilevel"/>
    <w:tmpl w:val="67A0EDE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0562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B11"/>
    <w:rsid w:val="003E5848"/>
    <w:rsid w:val="00622E19"/>
    <w:rsid w:val="009F5A3B"/>
    <w:rsid w:val="00D00718"/>
    <w:rsid w:val="00DF5640"/>
    <w:rsid w:val="00F90B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B5CBE"/>
  <w15:chartTrackingRefBased/>
  <w15:docId w15:val="{868B74BB-AB19-42B4-9F29-E69C58206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0B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0B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0B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0B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0B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0B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0B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0B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0B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0B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0B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0B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0B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0B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0B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0B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0B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0B11"/>
    <w:rPr>
      <w:rFonts w:eastAsiaTheme="majorEastAsia" w:cstheme="majorBidi"/>
      <w:color w:val="272727" w:themeColor="text1" w:themeTint="D8"/>
    </w:rPr>
  </w:style>
  <w:style w:type="paragraph" w:styleId="Title">
    <w:name w:val="Title"/>
    <w:basedOn w:val="Normal"/>
    <w:next w:val="Normal"/>
    <w:link w:val="TitleChar"/>
    <w:uiPriority w:val="10"/>
    <w:qFormat/>
    <w:rsid w:val="00F90B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0B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0B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0B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0B11"/>
    <w:pPr>
      <w:spacing w:before="160"/>
      <w:jc w:val="center"/>
    </w:pPr>
    <w:rPr>
      <w:i/>
      <w:iCs/>
      <w:color w:val="404040" w:themeColor="text1" w:themeTint="BF"/>
    </w:rPr>
  </w:style>
  <w:style w:type="character" w:customStyle="1" w:styleId="QuoteChar">
    <w:name w:val="Quote Char"/>
    <w:basedOn w:val="DefaultParagraphFont"/>
    <w:link w:val="Quote"/>
    <w:uiPriority w:val="29"/>
    <w:rsid w:val="00F90B11"/>
    <w:rPr>
      <w:i/>
      <w:iCs/>
      <w:color w:val="404040" w:themeColor="text1" w:themeTint="BF"/>
    </w:rPr>
  </w:style>
  <w:style w:type="paragraph" w:styleId="ListParagraph">
    <w:name w:val="List Paragraph"/>
    <w:basedOn w:val="Normal"/>
    <w:uiPriority w:val="34"/>
    <w:qFormat/>
    <w:rsid w:val="00F90B11"/>
    <w:pPr>
      <w:ind w:left="720"/>
      <w:contextualSpacing/>
    </w:pPr>
  </w:style>
  <w:style w:type="character" w:styleId="IntenseEmphasis">
    <w:name w:val="Intense Emphasis"/>
    <w:basedOn w:val="DefaultParagraphFont"/>
    <w:uiPriority w:val="21"/>
    <w:qFormat/>
    <w:rsid w:val="00F90B11"/>
    <w:rPr>
      <w:i/>
      <w:iCs/>
      <w:color w:val="0F4761" w:themeColor="accent1" w:themeShade="BF"/>
    </w:rPr>
  </w:style>
  <w:style w:type="paragraph" w:styleId="IntenseQuote">
    <w:name w:val="Intense Quote"/>
    <w:basedOn w:val="Normal"/>
    <w:next w:val="Normal"/>
    <w:link w:val="IntenseQuoteChar"/>
    <w:uiPriority w:val="30"/>
    <w:qFormat/>
    <w:rsid w:val="00F90B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0B11"/>
    <w:rPr>
      <w:i/>
      <w:iCs/>
      <w:color w:val="0F4761" w:themeColor="accent1" w:themeShade="BF"/>
    </w:rPr>
  </w:style>
  <w:style w:type="character" w:styleId="IntenseReference">
    <w:name w:val="Intense Reference"/>
    <w:basedOn w:val="DefaultParagraphFont"/>
    <w:uiPriority w:val="32"/>
    <w:qFormat/>
    <w:rsid w:val="00F90B11"/>
    <w:rPr>
      <w:b/>
      <w:bCs/>
      <w:smallCaps/>
      <w:color w:val="0F4761" w:themeColor="accent1" w:themeShade="BF"/>
      <w:spacing w:val="5"/>
    </w:rPr>
  </w:style>
  <w:style w:type="paragraph" w:styleId="NormalWeb">
    <w:name w:val="Normal (Web)"/>
    <w:basedOn w:val="Normal"/>
    <w:uiPriority w:val="99"/>
    <w:unhideWhenUsed/>
    <w:rsid w:val="00622E1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22E1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1334</Words>
  <Characters>7604</Characters>
  <Application>Microsoft Office Word</Application>
  <DocSecurity>0</DocSecurity>
  <Lines>63</Lines>
  <Paragraphs>17</Paragraphs>
  <ScaleCrop>false</ScaleCrop>
  <Company/>
  <LinksUpToDate>false</LinksUpToDate>
  <CharactersWithSpaces>8921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Medders</dc:creator>
  <cp:keywords/>
  <dc:description/>
  <cp:lastModifiedBy>Tyler Medders</cp:lastModifiedBy>
  <cp:revision>2</cp:revision>
  <dcterms:created xsi:type="dcterms:W3CDTF">2026-10-07T17:12:00Z</dcterms:created>
  <dcterms:modified xsi:type="dcterms:W3CDTF">2026-10-07T17:21:00Z</dcterms:modified>
</cp:coreProperties>
</file>