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3B8DD" w14:textId="0DA91F3B" w:rsidR="003E5848" w:rsidRDefault="00DD55A7" w:rsidP="00DD55A7">
      <w:pPr>
        <w:jc w:val="center"/>
        <w:rPr>
          <w:rFonts w:ascii="Aptos Black" w:hAnsi="Aptos Black"/>
          <w:b/>
          <w:bCs/>
          <w:sz w:val="26"/>
          <w:szCs w:val="26"/>
        </w:rPr>
      </w:pPr>
      <w:r w:rsidRPr="00DD55A7">
        <w:rPr>
          <w:rFonts w:ascii="Aptos Black" w:hAnsi="Aptos Black"/>
          <w:b/>
          <w:bCs/>
          <w:sz w:val="26"/>
          <w:szCs w:val="26"/>
        </w:rPr>
        <w:t>AsterPeak Software — Revenue Operations Command Center Case Study</w:t>
      </w:r>
    </w:p>
    <w:p w14:paraId="67F188AE" w14:textId="77777777" w:rsidR="00DD55A7" w:rsidRDefault="00DD55A7" w:rsidP="00DD55A7">
      <w:pPr>
        <w:rPr>
          <w:b/>
          <w:bCs/>
        </w:rPr>
      </w:pPr>
      <w:r w:rsidRPr="00DD55A7">
        <w:rPr>
          <w:b/>
          <w:bCs/>
        </w:rPr>
        <w:t>Executive Summary</w:t>
      </w:r>
    </w:p>
    <w:p w14:paraId="5890A0FD" w14:textId="77777777" w:rsidR="00DD55A7" w:rsidRPr="00DD55A7" w:rsidRDefault="00DD55A7" w:rsidP="00DD55A7">
      <w:r w:rsidRPr="00DD55A7">
        <w:t>AsterPeak Software is a fictional U.S.-based B2B SaaS company with approximately $15–20 million in annual recurring revenue and roughly 100 employees. This project was built as an end-</w:t>
      </w:r>
      <w:proofErr w:type="gramStart"/>
      <w:r w:rsidRPr="00DD55A7">
        <w:t>to</w:t>
      </w:r>
      <w:proofErr w:type="gramEnd"/>
      <w:r w:rsidRPr="00DD55A7">
        <w:t>-end Revenue Operations case study using synthetic CRM and commercial data to simulate the operational challenges of a growing software company.</w:t>
      </w:r>
    </w:p>
    <w:p w14:paraId="3F7CF0C9" w14:textId="77777777" w:rsidR="00DD55A7" w:rsidRPr="00DD55A7" w:rsidRDefault="00DD55A7" w:rsidP="00DD55A7">
      <w:r w:rsidRPr="00DD55A7">
        <w:t>The objective was to move beyond standalone reporting and design a connected RevOps operating model spanning CRM governance, lead routing, pipeline management, forecasting, commercial approvals, analytics, and process documentation.</w:t>
      </w:r>
    </w:p>
    <w:p w14:paraId="372E37EC" w14:textId="77777777" w:rsidR="00DD55A7" w:rsidRPr="00DD55A7" w:rsidRDefault="00DD55A7" w:rsidP="00DD55A7">
      <w:r w:rsidRPr="00DD55A7">
        <w:t xml:space="preserve">The analysis identified several meaningful operational risks. Approximately </w:t>
      </w:r>
      <w:r w:rsidRPr="00DD55A7">
        <w:rPr>
          <w:b/>
          <w:bCs/>
        </w:rPr>
        <w:t>$2.05 million of open pipeline ARR, or 34% of total open pipeline ARR, was associated with 53 stale, overdue, or stale-and-overdue opportunities</w:t>
      </w:r>
      <w:r w:rsidRPr="00DD55A7">
        <w:t xml:space="preserve">. Lead-routing analysis showed </w:t>
      </w:r>
      <w:r w:rsidRPr="00DD55A7">
        <w:rPr>
          <w:b/>
          <w:bCs/>
        </w:rPr>
        <w:t>87.5% compatibility with the expected routing model</w:t>
      </w:r>
      <w:r w:rsidRPr="00DD55A7">
        <w:t xml:space="preserve">, leaving exceptions involving unassigned records, territory mismatches, segment mismatches, and incomplete routing data. Forecast-category alignment was relatively strong at </w:t>
      </w:r>
      <w:r w:rsidRPr="00DD55A7">
        <w:rPr>
          <w:b/>
          <w:bCs/>
        </w:rPr>
        <w:t>95.7%</w:t>
      </w:r>
      <w:r w:rsidRPr="00DD55A7">
        <w:t xml:space="preserve">, but 38 snapshot records were still inconsistent with expected stage-based categories. Historical Deal Desk analysis identified </w:t>
      </w:r>
      <w:r w:rsidRPr="00DD55A7">
        <w:rPr>
          <w:b/>
          <w:bCs/>
        </w:rPr>
        <w:t>150 closed opportunities that met commercial-review criteria</w:t>
      </w:r>
      <w:r w:rsidRPr="00DD55A7">
        <w:t xml:space="preserve">, while only </w:t>
      </w:r>
      <w:r w:rsidRPr="00DD55A7">
        <w:rPr>
          <w:b/>
          <w:bCs/>
        </w:rPr>
        <w:t>61 had identifiable approval evidence</w:t>
      </w:r>
      <w:r w:rsidRPr="00DD55A7">
        <w:t xml:space="preserve">, producing approximately </w:t>
      </w:r>
      <w:r w:rsidRPr="00DD55A7">
        <w:rPr>
          <w:b/>
          <w:bCs/>
        </w:rPr>
        <w:t>40.7% documented approval coverage</w:t>
      </w:r>
      <w:r w:rsidRPr="00DD55A7">
        <w:t>.</w:t>
      </w:r>
    </w:p>
    <w:p w14:paraId="0324179A" w14:textId="6772B699" w:rsidR="00DD55A7" w:rsidRPr="00DD55A7" w:rsidRDefault="00D1420C" w:rsidP="00DD55A7">
      <w:r w:rsidRPr="00D1420C">
        <w:t xml:space="preserve">To address these issues, the project combined SQL analysis, Excel audit and reconciliation workflows, Power BI executive reporting, Salesforce configuration, CRM validation rules, </w:t>
      </w:r>
      <w:r w:rsidRPr="00D1420C">
        <w:rPr>
          <w:b/>
          <w:bCs/>
        </w:rPr>
        <w:t>Deal Desk governance controls</w:t>
      </w:r>
      <w:r w:rsidRPr="00D1420C">
        <w:t>, operating-model documentation, process maps, standard operating procedures, and executive recommendations.</w:t>
      </w:r>
    </w:p>
    <w:p w14:paraId="230C5989" w14:textId="16868D86" w:rsidR="00DD55A7" w:rsidRPr="00DD55A7" w:rsidRDefault="00DD55A7" w:rsidP="00DD55A7">
      <w:proofErr w:type="gramStart"/>
      <w:r w:rsidRPr="00DD55A7">
        <w:t>The final result</w:t>
      </w:r>
      <w:proofErr w:type="gramEnd"/>
      <w:r w:rsidRPr="00DD55A7">
        <w:t xml:space="preserve"> is a Revenue Operations Command Center designed to give leadership clearer visibility into revenue performance while also improving the processes and controls that create the underlying data.</w:t>
      </w:r>
    </w:p>
    <w:p w14:paraId="38156011" w14:textId="21CF0C57" w:rsidR="00DD55A7" w:rsidRPr="00DD55A7" w:rsidRDefault="00DD55A7" w:rsidP="00DD55A7">
      <w:pPr>
        <w:pStyle w:val="ListParagraph"/>
        <w:numPr>
          <w:ilvl w:val="0"/>
          <w:numId w:val="1"/>
        </w:numPr>
        <w:rPr>
          <w:b/>
          <w:bCs/>
        </w:rPr>
      </w:pPr>
      <w:r w:rsidRPr="00DD55A7">
        <w:rPr>
          <w:b/>
          <w:bCs/>
        </w:rPr>
        <w:t>Business Context &amp; Problem</w:t>
      </w:r>
    </w:p>
    <w:p w14:paraId="68436829" w14:textId="77777777" w:rsidR="00DD55A7" w:rsidRPr="00DD55A7" w:rsidRDefault="00DD55A7" w:rsidP="00DD55A7">
      <w:pPr>
        <w:spacing w:before="100" w:beforeAutospacing="1" w:after="100" w:afterAutospacing="1" w:line="240" w:lineRule="auto"/>
        <w:rPr>
          <w:rFonts w:eastAsia="Times New Roman" w:cs="Times New Roman"/>
          <w:kern w:val="0"/>
          <w14:ligatures w14:val="none"/>
        </w:rPr>
      </w:pPr>
      <w:r w:rsidRPr="00DD55A7">
        <w:rPr>
          <w:rFonts w:eastAsia="Times New Roman" w:cs="Times New Roman"/>
          <w:kern w:val="0"/>
          <w14:ligatures w14:val="none"/>
        </w:rPr>
        <w:t>AsterPeak operates a multi-stage revenue process involving Marketing, Marketing Operations, SDRs, Account Executives, Sales Leadership, Revenue Operations, Finance, and Legal.</w:t>
      </w:r>
    </w:p>
    <w:p w14:paraId="7CFFD50B" w14:textId="77777777" w:rsidR="00DD55A7" w:rsidRPr="00DD55A7" w:rsidRDefault="00DD55A7" w:rsidP="00DD55A7">
      <w:pPr>
        <w:spacing w:before="100" w:beforeAutospacing="1" w:after="100" w:afterAutospacing="1" w:line="240" w:lineRule="auto"/>
        <w:rPr>
          <w:rFonts w:eastAsia="Times New Roman" w:cs="Times New Roman"/>
          <w:kern w:val="0"/>
          <w14:ligatures w14:val="none"/>
        </w:rPr>
      </w:pPr>
      <w:r w:rsidRPr="00DD55A7">
        <w:rPr>
          <w:rFonts w:eastAsia="Times New Roman" w:cs="Times New Roman"/>
          <w:kern w:val="0"/>
          <w14:ligatures w14:val="none"/>
        </w:rPr>
        <w:t>HubSpot supports early marketing activity, lead scoring, nurturing, and Marketing Qualified Lead creation. Salesforce serves as the primary system of record for sales activity, accounts, contacts, opportunities, pipeline governance, forecasting, and commercial approvals.</w:t>
      </w:r>
    </w:p>
    <w:p w14:paraId="7D9CF344" w14:textId="77777777" w:rsidR="00DD55A7" w:rsidRPr="00DD55A7" w:rsidRDefault="00DD55A7" w:rsidP="00DD55A7">
      <w:pPr>
        <w:spacing w:before="100" w:beforeAutospacing="1" w:after="100" w:afterAutospacing="1" w:line="240" w:lineRule="auto"/>
        <w:rPr>
          <w:rFonts w:eastAsia="Times New Roman" w:cs="Times New Roman"/>
          <w:kern w:val="0"/>
          <w14:ligatures w14:val="none"/>
        </w:rPr>
      </w:pPr>
      <w:r w:rsidRPr="00DD55A7">
        <w:rPr>
          <w:rFonts w:eastAsia="Times New Roman" w:cs="Times New Roman"/>
          <w:kern w:val="0"/>
          <w14:ligatures w14:val="none"/>
        </w:rPr>
        <w:lastRenderedPageBreak/>
        <w:t>As the simulated organization grew, several common RevOps challenges emerged:</w:t>
      </w:r>
    </w:p>
    <w:p w14:paraId="092D63AE" w14:textId="77777777" w:rsidR="00DD55A7" w:rsidRPr="00DD55A7" w:rsidRDefault="00DD55A7" w:rsidP="00DD55A7">
      <w:pPr>
        <w:numPr>
          <w:ilvl w:val="0"/>
          <w:numId w:val="2"/>
        </w:numPr>
        <w:spacing w:before="100" w:beforeAutospacing="1" w:after="100" w:afterAutospacing="1" w:line="240" w:lineRule="auto"/>
        <w:rPr>
          <w:rFonts w:eastAsia="Times New Roman" w:cs="Times New Roman"/>
          <w:kern w:val="0"/>
          <w14:ligatures w14:val="none"/>
        </w:rPr>
      </w:pPr>
      <w:r w:rsidRPr="00DD55A7">
        <w:rPr>
          <w:rFonts w:eastAsia="Times New Roman" w:cs="Times New Roman"/>
          <w:kern w:val="0"/>
          <w14:ligatures w14:val="none"/>
        </w:rPr>
        <w:t xml:space="preserve">CRM records contained incomplete or inconsistent </w:t>
      </w:r>
      <w:proofErr w:type="gramStart"/>
      <w:r w:rsidRPr="00DD55A7">
        <w:rPr>
          <w:rFonts w:eastAsia="Times New Roman" w:cs="Times New Roman"/>
          <w:kern w:val="0"/>
          <w14:ligatures w14:val="none"/>
        </w:rPr>
        <w:t>account</w:t>
      </w:r>
      <w:proofErr w:type="gramEnd"/>
      <w:r w:rsidRPr="00DD55A7">
        <w:rPr>
          <w:rFonts w:eastAsia="Times New Roman" w:cs="Times New Roman"/>
          <w:kern w:val="0"/>
          <w14:ligatures w14:val="none"/>
        </w:rPr>
        <w:t>, ownership, segmentation, and routing data.</w:t>
      </w:r>
    </w:p>
    <w:p w14:paraId="2D55B3F3" w14:textId="77777777" w:rsidR="00DD55A7" w:rsidRPr="00DD55A7" w:rsidRDefault="00DD55A7" w:rsidP="00DD55A7">
      <w:pPr>
        <w:numPr>
          <w:ilvl w:val="0"/>
          <w:numId w:val="2"/>
        </w:numPr>
        <w:spacing w:before="100" w:beforeAutospacing="1" w:after="100" w:afterAutospacing="1" w:line="240" w:lineRule="auto"/>
        <w:rPr>
          <w:rFonts w:eastAsia="Times New Roman" w:cs="Times New Roman"/>
          <w:kern w:val="0"/>
          <w14:ligatures w14:val="none"/>
        </w:rPr>
      </w:pPr>
      <w:r w:rsidRPr="00DD55A7">
        <w:rPr>
          <w:rFonts w:eastAsia="Times New Roman" w:cs="Times New Roman"/>
          <w:kern w:val="0"/>
          <w14:ligatures w14:val="none"/>
        </w:rPr>
        <w:t>Lead assignment did not always match the expected segment-and-territory model.</w:t>
      </w:r>
    </w:p>
    <w:p w14:paraId="4BE52B6C" w14:textId="77777777" w:rsidR="00DD55A7" w:rsidRPr="00DD55A7" w:rsidRDefault="00DD55A7" w:rsidP="00DD55A7">
      <w:pPr>
        <w:numPr>
          <w:ilvl w:val="0"/>
          <w:numId w:val="2"/>
        </w:numPr>
        <w:spacing w:before="100" w:beforeAutospacing="1" w:after="100" w:afterAutospacing="1" w:line="240" w:lineRule="auto"/>
        <w:rPr>
          <w:rFonts w:eastAsia="Times New Roman" w:cs="Times New Roman"/>
          <w:kern w:val="0"/>
          <w14:ligatures w14:val="none"/>
        </w:rPr>
      </w:pPr>
      <w:r w:rsidRPr="00DD55A7">
        <w:rPr>
          <w:rFonts w:eastAsia="Times New Roman" w:cs="Times New Roman"/>
          <w:kern w:val="0"/>
          <w14:ligatures w14:val="none"/>
        </w:rPr>
        <w:t>Open opportunities included stale records, overdue close dates, missing fields, and forecast inconsistencies.</w:t>
      </w:r>
    </w:p>
    <w:p w14:paraId="31BFA647" w14:textId="77777777" w:rsidR="00DD55A7" w:rsidRPr="00DD55A7" w:rsidRDefault="00DD55A7" w:rsidP="00DD55A7">
      <w:pPr>
        <w:numPr>
          <w:ilvl w:val="0"/>
          <w:numId w:val="2"/>
        </w:numPr>
        <w:spacing w:before="100" w:beforeAutospacing="1" w:after="100" w:afterAutospacing="1" w:line="240" w:lineRule="auto"/>
        <w:rPr>
          <w:rFonts w:eastAsia="Times New Roman" w:cs="Times New Roman"/>
          <w:kern w:val="0"/>
          <w14:ligatures w14:val="none"/>
        </w:rPr>
      </w:pPr>
      <w:r w:rsidRPr="00DD55A7">
        <w:rPr>
          <w:rFonts w:eastAsia="Times New Roman" w:cs="Times New Roman"/>
          <w:kern w:val="0"/>
          <w14:ligatures w14:val="none"/>
        </w:rPr>
        <w:t>Commercial approval requirements were not consistently supported by documented Deal Desk evidence.</w:t>
      </w:r>
    </w:p>
    <w:p w14:paraId="205AB5AE" w14:textId="77777777" w:rsidR="00DD55A7" w:rsidRPr="00DD55A7" w:rsidRDefault="00DD55A7" w:rsidP="00DD55A7">
      <w:pPr>
        <w:numPr>
          <w:ilvl w:val="0"/>
          <w:numId w:val="2"/>
        </w:numPr>
        <w:spacing w:before="100" w:beforeAutospacing="1" w:after="100" w:afterAutospacing="1" w:line="240" w:lineRule="auto"/>
        <w:rPr>
          <w:rFonts w:eastAsia="Times New Roman" w:cs="Times New Roman"/>
          <w:kern w:val="0"/>
          <w14:ligatures w14:val="none"/>
        </w:rPr>
      </w:pPr>
      <w:r w:rsidRPr="00DD55A7">
        <w:rPr>
          <w:rFonts w:eastAsia="Times New Roman" w:cs="Times New Roman"/>
          <w:kern w:val="0"/>
          <w14:ligatures w14:val="none"/>
        </w:rPr>
        <w:t>Management reporting existed as an analytical need, but the organization also required operational controls capable of improving the quality of the underlying data.</w:t>
      </w:r>
    </w:p>
    <w:p w14:paraId="52F89D6A" w14:textId="77777777" w:rsidR="00DD55A7" w:rsidRPr="00DD55A7" w:rsidRDefault="00DD55A7" w:rsidP="00DD55A7">
      <w:pPr>
        <w:numPr>
          <w:ilvl w:val="0"/>
          <w:numId w:val="2"/>
        </w:numPr>
        <w:spacing w:before="100" w:beforeAutospacing="1" w:after="100" w:afterAutospacing="1" w:line="240" w:lineRule="auto"/>
        <w:rPr>
          <w:rFonts w:eastAsia="Times New Roman" w:cs="Times New Roman"/>
          <w:kern w:val="0"/>
          <w14:ligatures w14:val="none"/>
        </w:rPr>
      </w:pPr>
      <w:r w:rsidRPr="00DD55A7">
        <w:rPr>
          <w:rFonts w:eastAsia="Times New Roman" w:cs="Times New Roman"/>
          <w:kern w:val="0"/>
          <w14:ligatures w14:val="none"/>
        </w:rPr>
        <w:t>Revenue processes were not fully documented as repeatable workflows or standard operating procedures.</w:t>
      </w:r>
    </w:p>
    <w:p w14:paraId="0F96A89B" w14:textId="39DE3A91" w:rsidR="00DD55A7" w:rsidRPr="00DD55A7" w:rsidRDefault="00DD55A7" w:rsidP="00DD55A7">
      <w:pPr>
        <w:spacing w:before="100" w:beforeAutospacing="1" w:after="100" w:afterAutospacing="1" w:line="240" w:lineRule="auto"/>
        <w:rPr>
          <w:rFonts w:eastAsia="Times New Roman" w:cs="Times New Roman"/>
          <w:kern w:val="0"/>
          <w14:ligatures w14:val="none"/>
        </w:rPr>
      </w:pPr>
      <w:r w:rsidRPr="00DD55A7">
        <w:rPr>
          <w:rFonts w:eastAsia="Times New Roman" w:cs="Times New Roman"/>
          <w:kern w:val="0"/>
          <w14:ligatures w14:val="none"/>
        </w:rPr>
        <w:t>These issues created a broader challenge: improving revenue visibility required more than building dashboards. The operating model, CRM controls, ownership rules, and commercial workflows also needed to be defined.</w:t>
      </w:r>
    </w:p>
    <w:p w14:paraId="27133263" w14:textId="6D8FE3C3" w:rsidR="00DD55A7" w:rsidRPr="00DD55A7" w:rsidRDefault="00DD55A7" w:rsidP="00DD55A7">
      <w:pPr>
        <w:pStyle w:val="ListParagraph"/>
        <w:numPr>
          <w:ilvl w:val="0"/>
          <w:numId w:val="1"/>
        </w:numPr>
        <w:rPr>
          <w:b/>
          <w:bCs/>
        </w:rPr>
      </w:pPr>
      <w:r w:rsidRPr="00DD55A7">
        <w:rPr>
          <w:b/>
          <w:bCs/>
        </w:rPr>
        <w:t>Project Objectives</w:t>
      </w:r>
    </w:p>
    <w:p w14:paraId="2F19E843" w14:textId="77777777" w:rsidR="00DD55A7" w:rsidRPr="00DD55A7" w:rsidRDefault="00DD55A7" w:rsidP="00DD55A7">
      <w:pPr>
        <w:pStyle w:val="NormalWeb"/>
        <w:rPr>
          <w:rFonts w:asciiTheme="minorHAnsi" w:hAnsiTheme="minorHAnsi"/>
        </w:rPr>
      </w:pPr>
      <w:r w:rsidRPr="00DD55A7">
        <w:rPr>
          <w:rFonts w:asciiTheme="minorHAnsi" w:hAnsiTheme="minorHAnsi"/>
        </w:rPr>
        <w:t>The project was designed around six primary objectives.</w:t>
      </w:r>
    </w:p>
    <w:p w14:paraId="0FF02630" w14:textId="77777777" w:rsidR="00DD55A7" w:rsidRPr="00DD55A7" w:rsidRDefault="00DD55A7" w:rsidP="00DD55A7">
      <w:pPr>
        <w:pStyle w:val="NormalWeb"/>
        <w:rPr>
          <w:rFonts w:asciiTheme="minorHAnsi" w:hAnsiTheme="minorHAnsi"/>
        </w:rPr>
      </w:pPr>
      <w:r w:rsidRPr="00DD55A7">
        <w:rPr>
          <w:rFonts w:asciiTheme="minorHAnsi" w:hAnsiTheme="minorHAnsi"/>
        </w:rPr>
        <w:t>First, establish a reliable analytical foundation by auditing CRM data across accounts, leads, opportunities, forecasting, and commercial approvals.</w:t>
      </w:r>
    </w:p>
    <w:p w14:paraId="0AF5BCBB" w14:textId="77777777" w:rsidR="00DD55A7" w:rsidRPr="00DD55A7" w:rsidRDefault="00DD55A7" w:rsidP="00DD55A7">
      <w:pPr>
        <w:pStyle w:val="NormalWeb"/>
        <w:rPr>
          <w:rFonts w:asciiTheme="minorHAnsi" w:hAnsiTheme="minorHAnsi"/>
        </w:rPr>
      </w:pPr>
      <w:r w:rsidRPr="00DD55A7">
        <w:rPr>
          <w:rFonts w:asciiTheme="minorHAnsi" w:hAnsiTheme="minorHAnsi"/>
        </w:rPr>
        <w:t>Second, identify the largest operational risks affecting pipeline quality, routing accuracy, forecast confidence, and commercial governance.</w:t>
      </w:r>
    </w:p>
    <w:p w14:paraId="10561BBE" w14:textId="77777777" w:rsidR="00DD55A7" w:rsidRPr="00DD55A7" w:rsidRDefault="00DD55A7" w:rsidP="00DD55A7">
      <w:pPr>
        <w:pStyle w:val="NormalWeb"/>
        <w:rPr>
          <w:rFonts w:asciiTheme="minorHAnsi" w:hAnsiTheme="minorHAnsi"/>
        </w:rPr>
      </w:pPr>
      <w:r w:rsidRPr="00DD55A7">
        <w:rPr>
          <w:rFonts w:asciiTheme="minorHAnsi" w:hAnsiTheme="minorHAnsi"/>
        </w:rPr>
        <w:t>Third, create executive and operational reporting that made those risks visible and actionable.</w:t>
      </w:r>
    </w:p>
    <w:p w14:paraId="5272F847" w14:textId="77777777" w:rsidR="00DD55A7" w:rsidRPr="00DD55A7" w:rsidRDefault="00DD55A7" w:rsidP="00DD55A7">
      <w:pPr>
        <w:pStyle w:val="NormalWeb"/>
        <w:rPr>
          <w:rFonts w:asciiTheme="minorHAnsi" w:hAnsiTheme="minorHAnsi"/>
        </w:rPr>
      </w:pPr>
      <w:r w:rsidRPr="00DD55A7">
        <w:rPr>
          <w:rFonts w:asciiTheme="minorHAnsi" w:hAnsiTheme="minorHAnsi"/>
        </w:rPr>
        <w:t>Fourth, translate analytical findings into practical Salesforce governance controls rather than relying solely on post hoc reporting.</w:t>
      </w:r>
    </w:p>
    <w:p w14:paraId="1FAB94BC" w14:textId="77777777" w:rsidR="00DD55A7" w:rsidRPr="00DD55A7" w:rsidRDefault="00DD55A7" w:rsidP="00DD55A7">
      <w:pPr>
        <w:pStyle w:val="NormalWeb"/>
        <w:rPr>
          <w:rFonts w:asciiTheme="minorHAnsi" w:hAnsiTheme="minorHAnsi"/>
        </w:rPr>
      </w:pPr>
      <w:r w:rsidRPr="00DD55A7">
        <w:rPr>
          <w:rFonts w:asciiTheme="minorHAnsi" w:hAnsiTheme="minorHAnsi"/>
        </w:rPr>
        <w:t>Fifth, document repeatable Revenue Operations processes for Marketing-to-Sales handoff, opportunity governance, and Deal Desk approvals.</w:t>
      </w:r>
    </w:p>
    <w:p w14:paraId="5E6BEDD5" w14:textId="7E343467" w:rsidR="00DD55A7" w:rsidRPr="00DD55A7" w:rsidRDefault="00DD55A7" w:rsidP="00DD55A7">
      <w:pPr>
        <w:pStyle w:val="NormalWeb"/>
        <w:rPr>
          <w:rFonts w:asciiTheme="minorHAnsi" w:hAnsiTheme="minorHAnsi"/>
        </w:rPr>
      </w:pPr>
      <w:r w:rsidRPr="00DD55A7">
        <w:rPr>
          <w:rFonts w:asciiTheme="minorHAnsi" w:hAnsiTheme="minorHAnsi"/>
        </w:rPr>
        <w:t>Finally, package the analysis, technical implementation, and operating recommendations into a portfolio-ready case study demonstrating how Revenue Operations connects data, systems, process, and business decision-making.</w:t>
      </w:r>
    </w:p>
    <w:p w14:paraId="56E9B070" w14:textId="77777777" w:rsidR="00DD55A7" w:rsidRDefault="00DD55A7" w:rsidP="00DD55A7">
      <w:pPr>
        <w:rPr>
          <w:b/>
          <w:bCs/>
        </w:rPr>
      </w:pPr>
    </w:p>
    <w:p w14:paraId="2680BB03" w14:textId="700D0632" w:rsidR="00DD55A7" w:rsidRPr="00DD55A7" w:rsidRDefault="00DD55A7" w:rsidP="00DD55A7">
      <w:pPr>
        <w:pStyle w:val="ListParagraph"/>
        <w:numPr>
          <w:ilvl w:val="0"/>
          <w:numId w:val="1"/>
        </w:numPr>
        <w:rPr>
          <w:b/>
          <w:bCs/>
        </w:rPr>
      </w:pPr>
      <w:r w:rsidRPr="00DD55A7">
        <w:rPr>
          <w:b/>
          <w:bCs/>
        </w:rPr>
        <w:lastRenderedPageBreak/>
        <w:t>Data &amp; Systems</w:t>
      </w:r>
    </w:p>
    <w:p w14:paraId="761479CF" w14:textId="77777777" w:rsidR="00DD55A7" w:rsidRPr="00DD55A7" w:rsidRDefault="00DD55A7" w:rsidP="00DD55A7">
      <w:pPr>
        <w:pStyle w:val="NormalWeb"/>
        <w:rPr>
          <w:rFonts w:asciiTheme="minorHAnsi" w:hAnsiTheme="minorHAnsi"/>
        </w:rPr>
      </w:pPr>
      <w:r w:rsidRPr="00DD55A7">
        <w:rPr>
          <w:rFonts w:asciiTheme="minorHAnsi" w:hAnsiTheme="minorHAnsi"/>
        </w:rPr>
        <w:t xml:space="preserve">The project uses a synthetic CRM dataset containing </w:t>
      </w:r>
      <w:r w:rsidRPr="00DD55A7">
        <w:rPr>
          <w:rStyle w:val="Strong"/>
          <w:rFonts w:asciiTheme="minorHAnsi" w:hAnsiTheme="minorHAnsi"/>
        </w:rPr>
        <w:t>13,864 records</w:t>
      </w:r>
      <w:r w:rsidRPr="00DD55A7">
        <w:rPr>
          <w:rFonts w:asciiTheme="minorHAnsi" w:hAnsiTheme="minorHAnsi"/>
        </w:rPr>
        <w:t xml:space="preserve"> across interconnected revenue-management tables.</w:t>
      </w:r>
    </w:p>
    <w:p w14:paraId="0A9203D9" w14:textId="77777777" w:rsidR="00DD55A7" w:rsidRPr="00DD55A7" w:rsidRDefault="00DD55A7" w:rsidP="00DD55A7">
      <w:pPr>
        <w:pStyle w:val="NormalWeb"/>
        <w:rPr>
          <w:rFonts w:asciiTheme="minorHAnsi" w:hAnsiTheme="minorHAnsi"/>
        </w:rPr>
      </w:pPr>
      <w:r w:rsidRPr="00DD55A7">
        <w:rPr>
          <w:rFonts w:asciiTheme="minorHAnsi" w:hAnsiTheme="minorHAnsi"/>
        </w:rPr>
        <w:t>The modeled environment includes account, lead, opportunity, user, territory, forecasting, activity, and commercial-governance data designed to reproduce common B2B SaaS RevOps scenarios.</w:t>
      </w:r>
    </w:p>
    <w:p w14:paraId="1EAA42DF" w14:textId="77777777" w:rsidR="00DD55A7" w:rsidRPr="00DD55A7" w:rsidRDefault="00DD55A7" w:rsidP="00DD55A7">
      <w:pPr>
        <w:pStyle w:val="NormalWeb"/>
        <w:rPr>
          <w:rFonts w:asciiTheme="minorHAnsi" w:hAnsiTheme="minorHAnsi"/>
        </w:rPr>
      </w:pPr>
      <w:r w:rsidRPr="00DD55A7">
        <w:rPr>
          <w:rFonts w:asciiTheme="minorHAnsi" w:hAnsiTheme="minorHAnsi"/>
        </w:rPr>
        <w:t>The primary systems and tools used were:</w:t>
      </w:r>
    </w:p>
    <w:p w14:paraId="04D430D8" w14:textId="77777777" w:rsidR="00DD55A7" w:rsidRPr="00DD55A7" w:rsidRDefault="00DD55A7" w:rsidP="00DD55A7">
      <w:pPr>
        <w:pStyle w:val="NormalWeb"/>
        <w:rPr>
          <w:rFonts w:asciiTheme="minorHAnsi" w:hAnsiTheme="minorHAnsi"/>
        </w:rPr>
      </w:pPr>
      <w:r w:rsidRPr="00DD55A7">
        <w:rPr>
          <w:rStyle w:val="Strong"/>
          <w:rFonts w:asciiTheme="minorHAnsi" w:hAnsiTheme="minorHAnsi"/>
        </w:rPr>
        <w:t>SQL</w:t>
      </w:r>
      <w:r w:rsidRPr="00DD55A7">
        <w:rPr>
          <w:rFonts w:asciiTheme="minorHAnsi" w:hAnsiTheme="minorHAnsi"/>
        </w:rPr>
        <w:t xml:space="preserve"> for data validation, </w:t>
      </w:r>
      <w:proofErr w:type="gramStart"/>
      <w:r w:rsidRPr="00DD55A7">
        <w:rPr>
          <w:rFonts w:asciiTheme="minorHAnsi" w:hAnsiTheme="minorHAnsi"/>
        </w:rPr>
        <w:t>joins</w:t>
      </w:r>
      <w:proofErr w:type="gramEnd"/>
      <w:r w:rsidRPr="00DD55A7">
        <w:rPr>
          <w:rFonts w:asciiTheme="minorHAnsi" w:hAnsiTheme="minorHAnsi"/>
        </w:rPr>
        <w:t>, segmentation logic, ownership analysis, pipeline analysis, forecast auditing, and Deal Desk analysis.</w:t>
      </w:r>
    </w:p>
    <w:p w14:paraId="5B627B0D" w14:textId="77777777" w:rsidR="00DD55A7" w:rsidRPr="00DD55A7" w:rsidRDefault="00DD55A7" w:rsidP="00DD55A7">
      <w:pPr>
        <w:pStyle w:val="NormalWeb"/>
        <w:rPr>
          <w:rFonts w:asciiTheme="minorHAnsi" w:hAnsiTheme="minorHAnsi"/>
        </w:rPr>
      </w:pPr>
      <w:r w:rsidRPr="00DD55A7">
        <w:rPr>
          <w:rStyle w:val="Strong"/>
          <w:rFonts w:asciiTheme="minorHAnsi" w:hAnsiTheme="minorHAnsi"/>
        </w:rPr>
        <w:t>Microsoft Excel</w:t>
      </w:r>
      <w:r w:rsidRPr="00DD55A7">
        <w:rPr>
          <w:rFonts w:asciiTheme="minorHAnsi" w:hAnsiTheme="minorHAnsi"/>
        </w:rPr>
        <w:t xml:space="preserve"> for record-level audit workflows, pivot analysis, exception review, and reconciliation against SQL outputs.</w:t>
      </w:r>
    </w:p>
    <w:p w14:paraId="6C177E7B" w14:textId="77777777" w:rsidR="00DD55A7" w:rsidRPr="00DD55A7" w:rsidRDefault="00DD55A7" w:rsidP="00DD55A7">
      <w:pPr>
        <w:pStyle w:val="NormalWeb"/>
        <w:rPr>
          <w:rFonts w:asciiTheme="minorHAnsi" w:hAnsiTheme="minorHAnsi"/>
        </w:rPr>
      </w:pPr>
      <w:r w:rsidRPr="00DD55A7">
        <w:rPr>
          <w:rStyle w:val="Strong"/>
          <w:rFonts w:asciiTheme="minorHAnsi" w:hAnsiTheme="minorHAnsi"/>
        </w:rPr>
        <w:t>Power BI</w:t>
      </w:r>
      <w:r w:rsidRPr="00DD55A7">
        <w:rPr>
          <w:rFonts w:asciiTheme="minorHAnsi" w:hAnsiTheme="minorHAnsi"/>
        </w:rPr>
        <w:t xml:space="preserve"> for executive dashboards, KPI reporting, pipeline-health visualization, funnel analysis, forecast analysis, and CRM governance reporting.</w:t>
      </w:r>
    </w:p>
    <w:p w14:paraId="5C5C2FF0" w14:textId="77777777" w:rsidR="00DD55A7" w:rsidRPr="00DD55A7" w:rsidRDefault="00DD55A7" w:rsidP="00DD55A7">
      <w:pPr>
        <w:pStyle w:val="NormalWeb"/>
        <w:rPr>
          <w:rFonts w:asciiTheme="minorHAnsi" w:hAnsiTheme="minorHAnsi"/>
        </w:rPr>
      </w:pPr>
      <w:r w:rsidRPr="00DD55A7">
        <w:rPr>
          <w:rStyle w:val="Strong"/>
          <w:rFonts w:asciiTheme="minorHAnsi" w:hAnsiTheme="minorHAnsi"/>
        </w:rPr>
        <w:t>Salesforce Trailhead Playground</w:t>
      </w:r>
      <w:r w:rsidRPr="00DD55A7">
        <w:rPr>
          <w:rFonts w:asciiTheme="minorHAnsi" w:hAnsiTheme="minorHAnsi"/>
        </w:rPr>
        <w:t xml:space="preserve"> for implementing opportunity stages, custom fields, formula logic, validation rules, Deal Desk governance, reports, and dashboards.</w:t>
      </w:r>
    </w:p>
    <w:p w14:paraId="57A802BF" w14:textId="77777777" w:rsidR="00DD55A7" w:rsidRPr="00DD55A7" w:rsidRDefault="00DD55A7" w:rsidP="00DD55A7">
      <w:pPr>
        <w:pStyle w:val="NormalWeb"/>
        <w:rPr>
          <w:rFonts w:asciiTheme="minorHAnsi" w:hAnsiTheme="minorHAnsi"/>
        </w:rPr>
      </w:pPr>
      <w:r w:rsidRPr="00DD55A7">
        <w:rPr>
          <w:rStyle w:val="Strong"/>
          <w:rFonts w:asciiTheme="minorHAnsi" w:hAnsiTheme="minorHAnsi"/>
        </w:rPr>
        <w:t>HubSpot</w:t>
      </w:r>
      <w:r w:rsidRPr="00DD55A7">
        <w:rPr>
          <w:rFonts w:asciiTheme="minorHAnsi" w:hAnsiTheme="minorHAnsi"/>
        </w:rPr>
        <w:t xml:space="preserve"> was incorporated into the operating model as the conceptual marketing automation and early-lifecycle platform, with Salesforce serving as the primary sales system of record after conversion.</w:t>
      </w:r>
    </w:p>
    <w:p w14:paraId="6F53771A" w14:textId="475EE796" w:rsidR="00DD55A7" w:rsidRPr="00DD55A7" w:rsidRDefault="00DD55A7" w:rsidP="00DD55A7">
      <w:pPr>
        <w:pStyle w:val="NormalWeb"/>
        <w:rPr>
          <w:rFonts w:asciiTheme="minorHAnsi" w:hAnsiTheme="minorHAnsi"/>
        </w:rPr>
      </w:pPr>
      <w:r w:rsidRPr="00DD55A7">
        <w:rPr>
          <w:rStyle w:val="Strong"/>
          <w:rFonts w:asciiTheme="minorHAnsi" w:hAnsiTheme="minorHAnsi"/>
        </w:rPr>
        <w:t>Microsoft Word and PowerPoint</w:t>
      </w:r>
      <w:r w:rsidRPr="00DD55A7">
        <w:rPr>
          <w:rFonts w:asciiTheme="minorHAnsi" w:hAnsiTheme="minorHAnsi"/>
        </w:rPr>
        <w:t xml:space="preserve"> were used to document the operating model, process designs, SOPs, executive recommendations, and workflow diagrams.</w:t>
      </w:r>
    </w:p>
    <w:p w14:paraId="33931AA9" w14:textId="6DBCFB89" w:rsidR="00DD55A7" w:rsidRPr="00DD55A7" w:rsidRDefault="00DD55A7" w:rsidP="00DD55A7">
      <w:pPr>
        <w:pStyle w:val="ListParagraph"/>
        <w:numPr>
          <w:ilvl w:val="0"/>
          <w:numId w:val="1"/>
        </w:numPr>
        <w:rPr>
          <w:b/>
          <w:bCs/>
        </w:rPr>
      </w:pPr>
      <w:r w:rsidRPr="00DD55A7">
        <w:rPr>
          <w:b/>
          <w:bCs/>
        </w:rPr>
        <w:t>Analysis &amp; Key Findings</w:t>
      </w:r>
    </w:p>
    <w:p w14:paraId="1193C39A" w14:textId="77777777" w:rsidR="00DD55A7" w:rsidRPr="00DD55A7" w:rsidRDefault="00DD55A7" w:rsidP="00DD55A7">
      <w:pPr>
        <w:rPr>
          <w:b/>
          <w:bCs/>
        </w:rPr>
      </w:pPr>
      <w:r w:rsidRPr="00DD55A7">
        <w:rPr>
          <w:b/>
          <w:bCs/>
        </w:rPr>
        <w:t>CRM and Account Data Quality</w:t>
      </w:r>
    </w:p>
    <w:p w14:paraId="6CC39AAC" w14:textId="77777777" w:rsidR="00DD55A7" w:rsidRPr="00DD55A7" w:rsidRDefault="00DD55A7" w:rsidP="00DD55A7">
      <w:r w:rsidRPr="00DD55A7">
        <w:t>The account audit evaluated employee counts, segmentation, territory assignment, and ownership.</w:t>
      </w:r>
    </w:p>
    <w:p w14:paraId="2711AD60" w14:textId="77777777" w:rsidR="00DD55A7" w:rsidRPr="00DD55A7" w:rsidRDefault="00DD55A7" w:rsidP="00DD55A7">
      <w:r w:rsidRPr="00DD55A7">
        <w:t>AsterPeak’s segmentation model was defined as:</w:t>
      </w:r>
    </w:p>
    <w:p w14:paraId="6C34FD23" w14:textId="77777777" w:rsidR="00DD55A7" w:rsidRPr="00DD55A7" w:rsidRDefault="00DD55A7" w:rsidP="00DD55A7">
      <w:pPr>
        <w:numPr>
          <w:ilvl w:val="0"/>
          <w:numId w:val="3"/>
        </w:numPr>
      </w:pPr>
      <w:r w:rsidRPr="00DD55A7">
        <w:t>Fewer than 20 employees — Outside Target</w:t>
      </w:r>
    </w:p>
    <w:p w14:paraId="47E00992" w14:textId="77777777" w:rsidR="00DD55A7" w:rsidRPr="00DD55A7" w:rsidRDefault="00DD55A7" w:rsidP="00DD55A7">
      <w:pPr>
        <w:numPr>
          <w:ilvl w:val="0"/>
          <w:numId w:val="3"/>
        </w:numPr>
      </w:pPr>
      <w:r w:rsidRPr="00DD55A7">
        <w:t>20–199 — SMB</w:t>
      </w:r>
    </w:p>
    <w:p w14:paraId="78DC0891" w14:textId="77777777" w:rsidR="00DD55A7" w:rsidRPr="00DD55A7" w:rsidRDefault="00DD55A7" w:rsidP="00DD55A7">
      <w:pPr>
        <w:numPr>
          <w:ilvl w:val="0"/>
          <w:numId w:val="3"/>
        </w:numPr>
      </w:pPr>
      <w:r w:rsidRPr="00DD55A7">
        <w:t>200–999 — Mid-Market</w:t>
      </w:r>
    </w:p>
    <w:p w14:paraId="2C419D69" w14:textId="77777777" w:rsidR="00DD55A7" w:rsidRPr="00DD55A7" w:rsidRDefault="00DD55A7" w:rsidP="00DD55A7">
      <w:pPr>
        <w:numPr>
          <w:ilvl w:val="0"/>
          <w:numId w:val="3"/>
        </w:numPr>
      </w:pPr>
      <w:r w:rsidRPr="00DD55A7">
        <w:t>1,000–2,499 — Upper Mid-Market</w:t>
      </w:r>
    </w:p>
    <w:p w14:paraId="6C408D00" w14:textId="77777777" w:rsidR="00DD55A7" w:rsidRPr="00DD55A7" w:rsidRDefault="00DD55A7" w:rsidP="00DD55A7">
      <w:pPr>
        <w:numPr>
          <w:ilvl w:val="0"/>
          <w:numId w:val="3"/>
        </w:numPr>
      </w:pPr>
      <w:r w:rsidRPr="00DD55A7">
        <w:lastRenderedPageBreak/>
        <w:t>2,500 or more — Management Review</w:t>
      </w:r>
    </w:p>
    <w:p w14:paraId="036E1A43" w14:textId="77777777" w:rsidR="00DD55A7" w:rsidRPr="00DD55A7" w:rsidRDefault="00DD55A7" w:rsidP="00DD55A7">
      <w:r w:rsidRPr="00DD55A7">
        <w:t>The analysis identified missing employee counts, missing segment values, unassigned owners, accounts outside the target range, and records whose stored ownership or territory did not align with the expected operating model.</w:t>
      </w:r>
    </w:p>
    <w:p w14:paraId="31F22720" w14:textId="7B8D2B7A" w:rsidR="00DD55A7" w:rsidRPr="00DD55A7" w:rsidRDefault="004207D2" w:rsidP="00DD55A7">
      <w:r w:rsidRPr="004207D2">
        <w:t xml:space="preserve">Territory analysis identified </w:t>
      </w:r>
      <w:r w:rsidRPr="004207D2">
        <w:rPr>
          <w:b/>
          <w:bCs/>
        </w:rPr>
        <w:t>10 accounts with incorrect stored territories</w:t>
      </w:r>
      <w:r w:rsidRPr="004207D2">
        <w:t xml:space="preserve">, </w:t>
      </w:r>
      <w:r w:rsidRPr="004207D2">
        <w:rPr>
          <w:b/>
          <w:bCs/>
        </w:rPr>
        <w:t>4 accounts with missing stored territories</w:t>
      </w:r>
      <w:r w:rsidRPr="004207D2">
        <w:t xml:space="preserve">, and </w:t>
      </w:r>
      <w:r w:rsidRPr="004207D2">
        <w:rPr>
          <w:b/>
          <w:bCs/>
        </w:rPr>
        <w:t>4 accounts with missing state data that prevented territory validation</w:t>
      </w:r>
      <w:r w:rsidRPr="004207D2">
        <w:t xml:space="preserve">. Ownership analysis identified </w:t>
      </w:r>
      <w:r w:rsidRPr="004207D2">
        <w:rPr>
          <w:b/>
          <w:bCs/>
        </w:rPr>
        <w:t>9 accounts with misassigned owners</w:t>
      </w:r>
      <w:r w:rsidRPr="004207D2">
        <w:t xml:space="preserve"> and </w:t>
      </w:r>
      <w:r w:rsidRPr="004207D2">
        <w:rPr>
          <w:b/>
          <w:bCs/>
        </w:rPr>
        <w:t>6 unassigned accounts</w:t>
      </w:r>
      <w:r w:rsidRPr="004207D2">
        <w:t>, demonstrating the need for recurring CRM governance rather than relying exclusively on initial record creation.</w:t>
      </w:r>
    </w:p>
    <w:p w14:paraId="31D3C59A" w14:textId="77777777" w:rsidR="00DD55A7" w:rsidRPr="00DD55A7" w:rsidRDefault="00DD55A7" w:rsidP="00DD55A7">
      <w:pPr>
        <w:rPr>
          <w:b/>
          <w:bCs/>
        </w:rPr>
      </w:pPr>
      <w:r w:rsidRPr="00DD55A7">
        <w:rPr>
          <w:b/>
          <w:bCs/>
        </w:rPr>
        <w:t>Lead Routing</w:t>
      </w:r>
    </w:p>
    <w:p w14:paraId="245069A8" w14:textId="77777777" w:rsidR="00DD55A7" w:rsidRPr="00DD55A7" w:rsidRDefault="00DD55A7" w:rsidP="00DD55A7">
      <w:r w:rsidRPr="00DD55A7">
        <w:t>Lead routing was evaluated against the expected combination of customer segment and geographic territory.</w:t>
      </w:r>
    </w:p>
    <w:p w14:paraId="3BF21B29" w14:textId="77777777" w:rsidR="00DD55A7" w:rsidRPr="00DD55A7" w:rsidRDefault="00DD55A7" w:rsidP="00DD55A7">
      <w:r w:rsidRPr="00DD55A7">
        <w:t xml:space="preserve">Of the </w:t>
      </w:r>
      <w:proofErr w:type="gramStart"/>
      <w:r w:rsidRPr="00DD55A7">
        <w:t>analyzed leads</w:t>
      </w:r>
      <w:proofErr w:type="gramEnd"/>
      <w:r w:rsidRPr="00DD55A7">
        <w:t xml:space="preserve">, </w:t>
      </w:r>
      <w:r w:rsidRPr="00DD55A7">
        <w:rPr>
          <w:b/>
          <w:bCs/>
        </w:rPr>
        <w:t>1,138 were compatible with the expected routing model, representing approximately 87.5% of the population</w:t>
      </w:r>
      <w:r w:rsidRPr="00DD55A7">
        <w:t>.</w:t>
      </w:r>
    </w:p>
    <w:p w14:paraId="5208D886" w14:textId="77777777" w:rsidR="00DD55A7" w:rsidRPr="00DD55A7" w:rsidRDefault="00DD55A7" w:rsidP="00DD55A7">
      <w:r w:rsidRPr="00DD55A7">
        <w:t>Exceptions included:</w:t>
      </w:r>
    </w:p>
    <w:p w14:paraId="38676459" w14:textId="77777777" w:rsidR="00DD55A7" w:rsidRPr="00DD55A7" w:rsidRDefault="00DD55A7" w:rsidP="00DD55A7">
      <w:pPr>
        <w:numPr>
          <w:ilvl w:val="0"/>
          <w:numId w:val="4"/>
        </w:numPr>
      </w:pPr>
      <w:r w:rsidRPr="00DD55A7">
        <w:t>65 unassigned leads</w:t>
      </w:r>
    </w:p>
    <w:p w14:paraId="718171BC" w14:textId="77777777" w:rsidR="00DD55A7" w:rsidRPr="00DD55A7" w:rsidRDefault="00DD55A7" w:rsidP="00DD55A7">
      <w:pPr>
        <w:numPr>
          <w:ilvl w:val="0"/>
          <w:numId w:val="4"/>
        </w:numPr>
      </w:pPr>
      <w:r w:rsidRPr="00DD55A7">
        <w:t>50 records with incorrect AE territory</w:t>
      </w:r>
    </w:p>
    <w:p w14:paraId="0DF53D79" w14:textId="77777777" w:rsidR="00DD55A7" w:rsidRPr="00DD55A7" w:rsidRDefault="00DD55A7" w:rsidP="00DD55A7">
      <w:pPr>
        <w:numPr>
          <w:ilvl w:val="0"/>
          <w:numId w:val="4"/>
        </w:numPr>
      </w:pPr>
      <w:r w:rsidRPr="00DD55A7">
        <w:t>27 records with incorrect segment assignment</w:t>
      </w:r>
    </w:p>
    <w:p w14:paraId="14440E52" w14:textId="77777777" w:rsidR="00DD55A7" w:rsidRPr="00DD55A7" w:rsidRDefault="00DD55A7" w:rsidP="00DD55A7">
      <w:pPr>
        <w:numPr>
          <w:ilvl w:val="0"/>
          <w:numId w:val="4"/>
        </w:numPr>
      </w:pPr>
      <w:r w:rsidRPr="00DD55A7">
        <w:t>13 records requiring territory information</w:t>
      </w:r>
    </w:p>
    <w:p w14:paraId="11E61E95" w14:textId="77777777" w:rsidR="00DD55A7" w:rsidRPr="00DD55A7" w:rsidRDefault="00DD55A7" w:rsidP="00DD55A7">
      <w:pPr>
        <w:numPr>
          <w:ilvl w:val="0"/>
          <w:numId w:val="4"/>
        </w:numPr>
      </w:pPr>
      <w:r w:rsidRPr="00DD55A7">
        <w:t>7 records requiring segment information</w:t>
      </w:r>
    </w:p>
    <w:p w14:paraId="442FF5D9" w14:textId="77777777" w:rsidR="00DD55A7" w:rsidRPr="00DD55A7" w:rsidRDefault="00DD55A7" w:rsidP="00DD55A7">
      <w:r w:rsidRPr="00DD55A7">
        <w:t>These findings supported the creation of a more formal Marketing-to-Sales routing process and recurring exception monitoring.</w:t>
      </w:r>
    </w:p>
    <w:p w14:paraId="7EF756C0" w14:textId="77777777" w:rsidR="00DD55A7" w:rsidRPr="00DD55A7" w:rsidRDefault="00DD55A7" w:rsidP="00DD55A7">
      <w:pPr>
        <w:rPr>
          <w:b/>
          <w:bCs/>
        </w:rPr>
      </w:pPr>
      <w:r w:rsidRPr="00DD55A7">
        <w:rPr>
          <w:b/>
          <w:bCs/>
        </w:rPr>
        <w:t>Pipeline Health</w:t>
      </w:r>
    </w:p>
    <w:p w14:paraId="71C80A8B" w14:textId="77777777" w:rsidR="00DD55A7" w:rsidRPr="00DD55A7" w:rsidRDefault="00DD55A7" w:rsidP="00DD55A7">
      <w:r w:rsidRPr="00DD55A7">
        <w:t xml:space="preserve">The opportunity dataset contained </w:t>
      </w:r>
      <w:r w:rsidRPr="00DD55A7">
        <w:rPr>
          <w:b/>
          <w:bCs/>
        </w:rPr>
        <w:t>425 total opportunities</w:t>
      </w:r>
      <w:r w:rsidRPr="00DD55A7">
        <w:t xml:space="preserve">, including </w:t>
      </w:r>
      <w:r w:rsidRPr="00DD55A7">
        <w:rPr>
          <w:b/>
          <w:bCs/>
        </w:rPr>
        <w:t>160 open and 265 closed opportunities</w:t>
      </w:r>
      <w:r w:rsidRPr="00DD55A7">
        <w:t>.</w:t>
      </w:r>
    </w:p>
    <w:p w14:paraId="22496E02" w14:textId="77777777" w:rsidR="00DD55A7" w:rsidRPr="00DD55A7" w:rsidRDefault="00DD55A7" w:rsidP="00DD55A7">
      <w:r w:rsidRPr="00DD55A7">
        <w:t xml:space="preserve">Total open pipeline ARR was approximately </w:t>
      </w:r>
      <w:r w:rsidRPr="00DD55A7">
        <w:rPr>
          <w:b/>
          <w:bCs/>
        </w:rPr>
        <w:t>$6.02 million</w:t>
      </w:r>
      <w:r w:rsidRPr="00DD55A7">
        <w:t>.</w:t>
      </w:r>
    </w:p>
    <w:p w14:paraId="760E11C6" w14:textId="77777777" w:rsidR="00DD55A7" w:rsidRPr="00DD55A7" w:rsidRDefault="00DD55A7" w:rsidP="00DD55A7">
      <w:r w:rsidRPr="00DD55A7">
        <w:t>Open pipeline was segmented into four health categories:</w:t>
      </w:r>
    </w:p>
    <w:p w14:paraId="14CCCAF9" w14:textId="77777777" w:rsidR="00DD55A7" w:rsidRPr="00DD55A7" w:rsidRDefault="00DD55A7" w:rsidP="00DD55A7">
      <w:pPr>
        <w:numPr>
          <w:ilvl w:val="0"/>
          <w:numId w:val="5"/>
        </w:numPr>
      </w:pPr>
      <w:r w:rsidRPr="00DD55A7">
        <w:t>Healthy — 107 opportunities / approximately $3.97M ARR</w:t>
      </w:r>
    </w:p>
    <w:p w14:paraId="0F93779E" w14:textId="77777777" w:rsidR="00DD55A7" w:rsidRPr="00DD55A7" w:rsidRDefault="00DD55A7" w:rsidP="00DD55A7">
      <w:pPr>
        <w:numPr>
          <w:ilvl w:val="0"/>
          <w:numId w:val="5"/>
        </w:numPr>
      </w:pPr>
      <w:r w:rsidRPr="00DD55A7">
        <w:t>Overdue — 24 opportunities / approximately $1.00M ARR</w:t>
      </w:r>
    </w:p>
    <w:p w14:paraId="2760B4FA" w14:textId="77777777" w:rsidR="00DD55A7" w:rsidRPr="00DD55A7" w:rsidRDefault="00DD55A7" w:rsidP="00DD55A7">
      <w:pPr>
        <w:numPr>
          <w:ilvl w:val="0"/>
          <w:numId w:val="5"/>
        </w:numPr>
      </w:pPr>
      <w:r w:rsidRPr="00DD55A7">
        <w:lastRenderedPageBreak/>
        <w:t>Stale — 24 opportunities / approximately $838K ARR</w:t>
      </w:r>
    </w:p>
    <w:p w14:paraId="440BA6B9" w14:textId="77777777" w:rsidR="00DD55A7" w:rsidRPr="00DD55A7" w:rsidRDefault="00DD55A7" w:rsidP="00DD55A7">
      <w:pPr>
        <w:numPr>
          <w:ilvl w:val="0"/>
          <w:numId w:val="5"/>
        </w:numPr>
      </w:pPr>
      <w:r w:rsidRPr="00DD55A7">
        <w:t>Stale + Overdue — 5 opportunities / approximately $209K ARR</w:t>
      </w:r>
    </w:p>
    <w:p w14:paraId="0E07E120" w14:textId="77777777" w:rsidR="00DD55A7" w:rsidRPr="00DD55A7" w:rsidRDefault="00DD55A7" w:rsidP="00DD55A7">
      <w:r w:rsidRPr="00DD55A7">
        <w:t xml:space="preserve">In total, </w:t>
      </w:r>
      <w:r w:rsidRPr="00DD55A7">
        <w:rPr>
          <w:b/>
          <w:bCs/>
        </w:rPr>
        <w:t>53 open opportunities representing approximately $2.05 million in ARR were flagged</w:t>
      </w:r>
      <w:r w:rsidRPr="00DD55A7">
        <w:t xml:space="preserve">, equal to roughly </w:t>
      </w:r>
      <w:r w:rsidRPr="00DD55A7">
        <w:rPr>
          <w:b/>
          <w:bCs/>
        </w:rPr>
        <w:t>34% of total open pipeline ARR</w:t>
      </w:r>
      <w:r w:rsidRPr="00DD55A7">
        <w:t>.</w:t>
      </w:r>
    </w:p>
    <w:p w14:paraId="5F543AE6" w14:textId="77777777" w:rsidR="00DD55A7" w:rsidRPr="00DD55A7" w:rsidRDefault="00DD55A7" w:rsidP="00DD55A7">
      <w:r w:rsidRPr="00DD55A7">
        <w:t xml:space="preserve">The analysis also identified </w:t>
      </w:r>
      <w:r w:rsidRPr="00DD55A7">
        <w:rPr>
          <w:b/>
          <w:bCs/>
        </w:rPr>
        <w:t>30 open opportunities with CRM completeness gaps</w:t>
      </w:r>
      <w:r w:rsidRPr="00DD55A7">
        <w:t>, including missing Lead Source, Next Step, or ownership information.</w:t>
      </w:r>
    </w:p>
    <w:p w14:paraId="3D648530" w14:textId="77777777" w:rsidR="00DD55A7" w:rsidRPr="00DD55A7" w:rsidRDefault="00DD55A7" w:rsidP="00DD55A7">
      <w:r w:rsidRPr="00DD55A7">
        <w:t>These findings demonstrated that pipeline quantity alone was not sufficient. A meaningful portion of reported pipeline required review before it should be treated as reliable forecast input.</w:t>
      </w:r>
    </w:p>
    <w:p w14:paraId="54565109" w14:textId="77777777" w:rsidR="00DD55A7" w:rsidRPr="00DD55A7" w:rsidRDefault="00DD55A7" w:rsidP="00DD55A7">
      <w:pPr>
        <w:rPr>
          <w:b/>
          <w:bCs/>
        </w:rPr>
      </w:pPr>
      <w:r w:rsidRPr="00DD55A7">
        <w:rPr>
          <w:b/>
          <w:bCs/>
        </w:rPr>
        <w:t>Forecast Reliability</w:t>
      </w:r>
    </w:p>
    <w:p w14:paraId="0E6FB4DE" w14:textId="77777777" w:rsidR="00DD55A7" w:rsidRPr="00DD55A7" w:rsidRDefault="00DD55A7" w:rsidP="00DD55A7">
      <w:r w:rsidRPr="00DD55A7">
        <w:t>Forecast analysis compared recorded forecast categories with the category expected from opportunity stage.</w:t>
      </w:r>
    </w:p>
    <w:p w14:paraId="6E7A6005" w14:textId="77777777" w:rsidR="00DD55A7" w:rsidRPr="00DD55A7" w:rsidRDefault="00DD55A7" w:rsidP="00DD55A7">
      <w:r w:rsidRPr="00DD55A7">
        <w:t xml:space="preserve">Across </w:t>
      </w:r>
      <w:r w:rsidRPr="00DD55A7">
        <w:rPr>
          <w:b/>
          <w:bCs/>
        </w:rPr>
        <w:t>885 analyzed forecast snapshots</w:t>
      </w:r>
      <w:r w:rsidRPr="00DD55A7">
        <w:t xml:space="preserve">, </w:t>
      </w:r>
      <w:r w:rsidRPr="00DD55A7">
        <w:rPr>
          <w:b/>
          <w:bCs/>
        </w:rPr>
        <w:t>847 were aligned and 38 were misaligned</w:t>
      </w:r>
      <w:r w:rsidRPr="00DD55A7">
        <w:t xml:space="preserve">, producing approximately </w:t>
      </w:r>
      <w:r w:rsidRPr="00DD55A7">
        <w:rPr>
          <w:b/>
          <w:bCs/>
        </w:rPr>
        <w:t>95.7% forecast alignment</w:t>
      </w:r>
      <w:r w:rsidRPr="00DD55A7">
        <w:t>.</w:t>
      </w:r>
    </w:p>
    <w:p w14:paraId="67C28292" w14:textId="77777777" w:rsidR="00DD55A7" w:rsidRPr="00DD55A7" w:rsidRDefault="00DD55A7" w:rsidP="00DD55A7">
      <w:r w:rsidRPr="00DD55A7">
        <w:t>Of the exceptions:</w:t>
      </w:r>
    </w:p>
    <w:p w14:paraId="2C180477" w14:textId="77777777" w:rsidR="00DD55A7" w:rsidRPr="00DD55A7" w:rsidRDefault="00DD55A7" w:rsidP="00DD55A7">
      <w:pPr>
        <w:numPr>
          <w:ilvl w:val="0"/>
          <w:numId w:val="6"/>
        </w:numPr>
      </w:pPr>
      <w:r w:rsidRPr="00DD55A7">
        <w:t>31 were classified more optimistically than expected</w:t>
      </w:r>
    </w:p>
    <w:p w14:paraId="30701283" w14:textId="77777777" w:rsidR="00DD55A7" w:rsidRPr="00DD55A7" w:rsidRDefault="00DD55A7" w:rsidP="00DD55A7">
      <w:pPr>
        <w:numPr>
          <w:ilvl w:val="0"/>
          <w:numId w:val="6"/>
        </w:numPr>
      </w:pPr>
      <w:r w:rsidRPr="00DD55A7">
        <w:t>7 were classified more conservatively than expected</w:t>
      </w:r>
    </w:p>
    <w:p w14:paraId="5682F7CA" w14:textId="77777777" w:rsidR="00DD55A7" w:rsidRPr="00DD55A7" w:rsidRDefault="00DD55A7" w:rsidP="00DD55A7">
      <w:r w:rsidRPr="00DD55A7">
        <w:t>Although overall alignment was strong, the remaining exceptions reinforced the need for stage-based forecast governance and recurring exception review.</w:t>
      </w:r>
    </w:p>
    <w:p w14:paraId="7968F62B" w14:textId="77777777" w:rsidR="00DD55A7" w:rsidRPr="00DD55A7" w:rsidRDefault="00DD55A7" w:rsidP="00DD55A7">
      <w:pPr>
        <w:rPr>
          <w:b/>
          <w:bCs/>
        </w:rPr>
      </w:pPr>
      <w:r w:rsidRPr="00DD55A7">
        <w:rPr>
          <w:b/>
          <w:bCs/>
        </w:rPr>
        <w:t>Deal Desk Governance</w:t>
      </w:r>
    </w:p>
    <w:p w14:paraId="4AB8BE24" w14:textId="77777777" w:rsidR="00DD55A7" w:rsidRPr="00DD55A7" w:rsidRDefault="00DD55A7" w:rsidP="00DD55A7">
      <w:r w:rsidRPr="00DD55A7">
        <w:t>Historical opportunity data was evaluated against the commercial conditions that would require Deal Desk review under the proposed operating model.</w:t>
      </w:r>
    </w:p>
    <w:p w14:paraId="2C6341EC" w14:textId="77777777" w:rsidR="00DD55A7" w:rsidRPr="00DD55A7" w:rsidRDefault="00DD55A7" w:rsidP="00DD55A7">
      <w:r w:rsidRPr="00DD55A7">
        <w:t xml:space="preserve">The audit identified </w:t>
      </w:r>
      <w:r w:rsidRPr="00DD55A7">
        <w:rPr>
          <w:b/>
          <w:bCs/>
        </w:rPr>
        <w:t>150 closed opportunities that met Deal Desk criteria</w:t>
      </w:r>
      <w:r w:rsidRPr="00DD55A7">
        <w:t>.</w:t>
      </w:r>
    </w:p>
    <w:p w14:paraId="76E4C237" w14:textId="77777777" w:rsidR="00DD55A7" w:rsidRPr="00DD55A7" w:rsidRDefault="00DD55A7" w:rsidP="00DD55A7">
      <w:r w:rsidRPr="00DD55A7">
        <w:t xml:space="preserve">Only </w:t>
      </w:r>
      <w:r w:rsidRPr="00DD55A7">
        <w:rPr>
          <w:b/>
          <w:bCs/>
        </w:rPr>
        <w:t>61 contained identifiable approval evidence</w:t>
      </w:r>
      <w:r w:rsidRPr="00DD55A7">
        <w:t xml:space="preserve">, while </w:t>
      </w:r>
      <w:r w:rsidRPr="00DD55A7">
        <w:rPr>
          <w:b/>
          <w:bCs/>
        </w:rPr>
        <w:t>89 did not</w:t>
      </w:r>
      <w:r w:rsidRPr="00DD55A7">
        <w:t xml:space="preserve">, resulting in approximately </w:t>
      </w:r>
      <w:r w:rsidRPr="00DD55A7">
        <w:rPr>
          <w:b/>
          <w:bCs/>
        </w:rPr>
        <w:t>40.7% documented approval coverage</w:t>
      </w:r>
      <w:r w:rsidRPr="00DD55A7">
        <w:t>.</w:t>
      </w:r>
    </w:p>
    <w:p w14:paraId="40FB9CC2" w14:textId="77777777" w:rsidR="00DD55A7" w:rsidRPr="00DD55A7" w:rsidRDefault="00DD55A7" w:rsidP="00DD55A7">
      <w:r w:rsidRPr="00DD55A7">
        <w:t>A separate audit of Deal Desk flag logic found:</w:t>
      </w:r>
    </w:p>
    <w:p w14:paraId="0FB9A428" w14:textId="77777777" w:rsidR="00DD55A7" w:rsidRPr="00DD55A7" w:rsidRDefault="00DD55A7" w:rsidP="00DD55A7">
      <w:pPr>
        <w:numPr>
          <w:ilvl w:val="0"/>
          <w:numId w:val="7"/>
        </w:numPr>
      </w:pPr>
      <w:r w:rsidRPr="00DD55A7">
        <w:t>224 correctly flagged records</w:t>
      </w:r>
    </w:p>
    <w:p w14:paraId="5FDB58AA" w14:textId="77777777" w:rsidR="00DD55A7" w:rsidRPr="00DD55A7" w:rsidRDefault="00DD55A7" w:rsidP="00DD55A7">
      <w:pPr>
        <w:numPr>
          <w:ilvl w:val="0"/>
          <w:numId w:val="7"/>
        </w:numPr>
      </w:pPr>
      <w:r w:rsidRPr="00DD55A7">
        <w:t>191 correctly unflagged records</w:t>
      </w:r>
    </w:p>
    <w:p w14:paraId="7CE54C31" w14:textId="77777777" w:rsidR="00DD55A7" w:rsidRPr="00DD55A7" w:rsidRDefault="00DD55A7" w:rsidP="00DD55A7">
      <w:pPr>
        <w:numPr>
          <w:ilvl w:val="0"/>
          <w:numId w:val="7"/>
        </w:numPr>
      </w:pPr>
      <w:r w:rsidRPr="00DD55A7">
        <w:t>9 missed required flags</w:t>
      </w:r>
    </w:p>
    <w:p w14:paraId="03A8FD39" w14:textId="77777777" w:rsidR="00DD55A7" w:rsidRPr="00DD55A7" w:rsidRDefault="00DD55A7" w:rsidP="00DD55A7">
      <w:pPr>
        <w:numPr>
          <w:ilvl w:val="0"/>
          <w:numId w:val="7"/>
        </w:numPr>
      </w:pPr>
      <w:r w:rsidRPr="00DD55A7">
        <w:lastRenderedPageBreak/>
        <w:t>1 unnecessary flag</w:t>
      </w:r>
    </w:p>
    <w:p w14:paraId="05072C48" w14:textId="77777777" w:rsidR="00DD55A7" w:rsidRPr="00DD55A7" w:rsidRDefault="00DD55A7" w:rsidP="00DD55A7">
      <w:r w:rsidRPr="00DD55A7">
        <w:t xml:space="preserve">This represented approximately </w:t>
      </w:r>
      <w:r w:rsidRPr="00DD55A7">
        <w:rPr>
          <w:b/>
          <w:bCs/>
        </w:rPr>
        <w:t>97.6% flagging accuracy</w:t>
      </w:r>
      <w:r w:rsidRPr="00DD55A7">
        <w:t>.</w:t>
      </w:r>
    </w:p>
    <w:p w14:paraId="04167CC3" w14:textId="69C803D4" w:rsidR="00DD55A7" w:rsidRPr="00DD55A7" w:rsidRDefault="00DD55A7" w:rsidP="00DD55A7">
      <w:r w:rsidRPr="00DD55A7">
        <w:t>The gap between accurate identification logic and weak historical approval evidence became one of the strongest business cases for implementing Deal Desk controls directly in Salesforce.</w:t>
      </w:r>
    </w:p>
    <w:p w14:paraId="2D72A48E" w14:textId="07FA988A" w:rsidR="00DD55A7" w:rsidRPr="00DD55A7" w:rsidRDefault="00DD55A7" w:rsidP="00DD55A7">
      <w:pPr>
        <w:pStyle w:val="ListParagraph"/>
        <w:numPr>
          <w:ilvl w:val="0"/>
          <w:numId w:val="1"/>
        </w:numPr>
        <w:rPr>
          <w:b/>
          <w:bCs/>
        </w:rPr>
      </w:pPr>
      <w:r w:rsidRPr="00DD55A7">
        <w:rPr>
          <w:b/>
          <w:bCs/>
        </w:rPr>
        <w:t>Revenue Operations Solutions</w:t>
      </w:r>
    </w:p>
    <w:p w14:paraId="5A3ECE14" w14:textId="77777777" w:rsidR="00DD55A7" w:rsidRPr="00DD55A7" w:rsidRDefault="00DD55A7" w:rsidP="00DD55A7">
      <w:r w:rsidRPr="00DD55A7">
        <w:t>The findings were translated into a broader Revenue Operations operating model rather than treated as isolated data-quality problems.</w:t>
      </w:r>
    </w:p>
    <w:p w14:paraId="3674CE0D" w14:textId="77777777" w:rsidR="00DD55A7" w:rsidRPr="00DD55A7" w:rsidRDefault="00DD55A7" w:rsidP="00DD55A7">
      <w:r w:rsidRPr="00DD55A7">
        <w:t xml:space="preserve">AsterPeak’s lead lifecycle was standardized around the stages </w:t>
      </w:r>
      <w:r w:rsidRPr="00DD55A7">
        <w:rPr>
          <w:b/>
          <w:bCs/>
        </w:rPr>
        <w:t>Lead, MQL, SQL, Opportunity, and Customer</w:t>
      </w:r>
      <w:r w:rsidRPr="00DD55A7">
        <w:t>, supported by defined Lead Status values and qualification criteria.</w:t>
      </w:r>
    </w:p>
    <w:p w14:paraId="3A119B12" w14:textId="77777777" w:rsidR="00DD55A7" w:rsidRPr="00DD55A7" w:rsidRDefault="00DD55A7" w:rsidP="00DD55A7">
      <w:r w:rsidRPr="00DD55A7">
        <w:t xml:space="preserve">Marketing Qualified Leads are routed using both segment and territory. Initial sales follow-up is expected within </w:t>
      </w:r>
      <w:r w:rsidRPr="00DD55A7">
        <w:rPr>
          <w:b/>
          <w:bCs/>
        </w:rPr>
        <w:t>four business hours</w:t>
      </w:r>
      <w:r w:rsidRPr="00DD55A7">
        <w:t>. Leads that cannot immediately be reached remain in an active follow-up sequence rather than being prematurely disqualified.</w:t>
      </w:r>
    </w:p>
    <w:p w14:paraId="5076CCEB" w14:textId="77777777" w:rsidR="00DD55A7" w:rsidRPr="00DD55A7" w:rsidRDefault="00DD55A7" w:rsidP="00DD55A7">
      <w:r w:rsidRPr="00DD55A7">
        <w:t>Opportunity governance was standardized around the following stages:</w:t>
      </w:r>
    </w:p>
    <w:p w14:paraId="78A022DE" w14:textId="77777777" w:rsidR="00DD55A7" w:rsidRPr="00DD55A7" w:rsidRDefault="00DD55A7" w:rsidP="00DD55A7">
      <w:pPr>
        <w:numPr>
          <w:ilvl w:val="0"/>
          <w:numId w:val="8"/>
        </w:numPr>
      </w:pPr>
      <w:proofErr w:type="gramStart"/>
      <w:r w:rsidRPr="00DD55A7">
        <w:t>Discovery — 10</w:t>
      </w:r>
      <w:proofErr w:type="gramEnd"/>
      <w:r w:rsidRPr="00DD55A7">
        <w:t>%</w:t>
      </w:r>
    </w:p>
    <w:p w14:paraId="32669423" w14:textId="77777777" w:rsidR="00DD55A7" w:rsidRPr="00DD55A7" w:rsidRDefault="00DD55A7" w:rsidP="00DD55A7">
      <w:pPr>
        <w:numPr>
          <w:ilvl w:val="0"/>
          <w:numId w:val="8"/>
        </w:numPr>
      </w:pPr>
      <w:proofErr w:type="gramStart"/>
      <w:r w:rsidRPr="00DD55A7">
        <w:t>Qualification — 25</w:t>
      </w:r>
      <w:proofErr w:type="gramEnd"/>
      <w:r w:rsidRPr="00DD55A7">
        <w:t>%</w:t>
      </w:r>
    </w:p>
    <w:p w14:paraId="244DD55D" w14:textId="77777777" w:rsidR="00DD55A7" w:rsidRPr="00DD55A7" w:rsidRDefault="00DD55A7" w:rsidP="00DD55A7">
      <w:pPr>
        <w:numPr>
          <w:ilvl w:val="0"/>
          <w:numId w:val="8"/>
        </w:numPr>
      </w:pPr>
      <w:r w:rsidRPr="00DD55A7">
        <w:t>Solution Evaluation — 40%</w:t>
      </w:r>
    </w:p>
    <w:p w14:paraId="58FF11AC" w14:textId="77777777" w:rsidR="00DD55A7" w:rsidRPr="00DD55A7" w:rsidRDefault="00DD55A7" w:rsidP="00DD55A7">
      <w:pPr>
        <w:numPr>
          <w:ilvl w:val="0"/>
          <w:numId w:val="8"/>
        </w:numPr>
      </w:pPr>
      <w:r w:rsidRPr="00DD55A7">
        <w:t>Proposal — 60%</w:t>
      </w:r>
    </w:p>
    <w:p w14:paraId="4C55D8DD" w14:textId="77777777" w:rsidR="00DD55A7" w:rsidRPr="00DD55A7" w:rsidRDefault="00DD55A7" w:rsidP="00DD55A7">
      <w:pPr>
        <w:numPr>
          <w:ilvl w:val="0"/>
          <w:numId w:val="8"/>
        </w:numPr>
      </w:pPr>
      <w:r w:rsidRPr="00DD55A7">
        <w:t>Negotiation / Legal — 80%</w:t>
      </w:r>
    </w:p>
    <w:p w14:paraId="146D66E9" w14:textId="77777777" w:rsidR="00DD55A7" w:rsidRPr="00DD55A7" w:rsidRDefault="00DD55A7" w:rsidP="00DD55A7">
      <w:pPr>
        <w:numPr>
          <w:ilvl w:val="0"/>
          <w:numId w:val="8"/>
        </w:numPr>
      </w:pPr>
      <w:r w:rsidRPr="00DD55A7">
        <w:t>Commit — 90%</w:t>
      </w:r>
    </w:p>
    <w:p w14:paraId="4411BD34" w14:textId="77777777" w:rsidR="00DD55A7" w:rsidRPr="00DD55A7" w:rsidRDefault="00DD55A7" w:rsidP="00DD55A7">
      <w:pPr>
        <w:numPr>
          <w:ilvl w:val="0"/>
          <w:numId w:val="8"/>
        </w:numPr>
      </w:pPr>
      <w:r w:rsidRPr="00DD55A7">
        <w:t>Closed Won — 100%</w:t>
      </w:r>
    </w:p>
    <w:p w14:paraId="77945572" w14:textId="77777777" w:rsidR="00DD55A7" w:rsidRPr="00DD55A7" w:rsidRDefault="00DD55A7" w:rsidP="00DD55A7">
      <w:pPr>
        <w:numPr>
          <w:ilvl w:val="0"/>
          <w:numId w:val="8"/>
        </w:numPr>
      </w:pPr>
      <w:r w:rsidRPr="00DD55A7">
        <w:t>Closed Lost — 0%</w:t>
      </w:r>
    </w:p>
    <w:p w14:paraId="109EE34A" w14:textId="77777777" w:rsidR="00DD55A7" w:rsidRPr="00DD55A7" w:rsidRDefault="00DD55A7" w:rsidP="00DD55A7">
      <w:r w:rsidRPr="00DD55A7">
        <w:t xml:space="preserve">Expected forecast categories were aligned with those stages so that early-stage opportunities remain Pipeline, Proposal and Negotiation / Legal map to Best Case, </w:t>
      </w:r>
      <w:proofErr w:type="gramStart"/>
      <w:r w:rsidRPr="00DD55A7">
        <w:t>Commit</w:t>
      </w:r>
      <w:proofErr w:type="gramEnd"/>
      <w:r w:rsidRPr="00DD55A7">
        <w:t xml:space="preserve"> maps to Commit, and successful closed opportunities map to Closed.</w:t>
      </w:r>
    </w:p>
    <w:p w14:paraId="3A823E83" w14:textId="77777777" w:rsidR="00DD55A7" w:rsidRPr="00DD55A7" w:rsidRDefault="00DD55A7" w:rsidP="00DD55A7">
      <w:r w:rsidRPr="00DD55A7">
        <w:t>Pipeline-health definitions were also formalized. An open opportunity is considered overdue when its expected close date has passed and stale when it lacks recent activity or has gone more than 30 days without activity.</w:t>
      </w:r>
    </w:p>
    <w:p w14:paraId="1234A069" w14:textId="3295DA52" w:rsidR="00DD55A7" w:rsidRPr="00DD55A7" w:rsidRDefault="00DD55A7" w:rsidP="00DD55A7">
      <w:r w:rsidRPr="00DD55A7">
        <w:lastRenderedPageBreak/>
        <w:t>These rules created a common operating language that could be implemented consistently across reporting, CRM governance, and management review.</w:t>
      </w:r>
    </w:p>
    <w:p w14:paraId="221FA94A" w14:textId="3D6A9766" w:rsidR="00DD55A7" w:rsidRPr="00DD55A7" w:rsidRDefault="00DD55A7" w:rsidP="00DD55A7">
      <w:pPr>
        <w:pStyle w:val="ListParagraph"/>
        <w:numPr>
          <w:ilvl w:val="0"/>
          <w:numId w:val="1"/>
        </w:numPr>
        <w:rPr>
          <w:b/>
          <w:bCs/>
        </w:rPr>
      </w:pPr>
      <w:r w:rsidRPr="00DD55A7">
        <w:rPr>
          <w:b/>
          <w:bCs/>
        </w:rPr>
        <w:t>Salesforce Governance Implementation</w:t>
      </w:r>
    </w:p>
    <w:p w14:paraId="53759CC7" w14:textId="77777777" w:rsidR="00DD55A7" w:rsidRPr="00DD55A7" w:rsidRDefault="00DD55A7" w:rsidP="00DD55A7">
      <w:r w:rsidRPr="00DD55A7">
        <w:t>The operating model was implemented in a Salesforce Trailhead Playground to demonstrate how RevOps analysis can become active system governance.</w:t>
      </w:r>
    </w:p>
    <w:p w14:paraId="620C53DC" w14:textId="77777777" w:rsidR="00DD55A7" w:rsidRPr="00DD55A7" w:rsidRDefault="00DD55A7" w:rsidP="00DD55A7">
      <w:r w:rsidRPr="00DD55A7">
        <w:t>Custom Opportunity fields were created for:</w:t>
      </w:r>
    </w:p>
    <w:p w14:paraId="0DFA0966" w14:textId="77777777" w:rsidR="00DD55A7" w:rsidRPr="00DD55A7" w:rsidRDefault="00DD55A7" w:rsidP="00DD55A7">
      <w:pPr>
        <w:numPr>
          <w:ilvl w:val="0"/>
          <w:numId w:val="9"/>
        </w:numPr>
      </w:pPr>
      <w:r w:rsidRPr="00DD55A7">
        <w:t>Net ARR</w:t>
      </w:r>
    </w:p>
    <w:p w14:paraId="4C4745CD" w14:textId="77777777" w:rsidR="00DD55A7" w:rsidRPr="00DD55A7" w:rsidRDefault="00DD55A7" w:rsidP="00DD55A7">
      <w:pPr>
        <w:numPr>
          <w:ilvl w:val="0"/>
          <w:numId w:val="9"/>
        </w:numPr>
      </w:pPr>
      <w:r w:rsidRPr="00DD55A7">
        <w:t>Discount %</w:t>
      </w:r>
    </w:p>
    <w:p w14:paraId="654DA8B4" w14:textId="77777777" w:rsidR="00DD55A7" w:rsidRPr="00DD55A7" w:rsidRDefault="00DD55A7" w:rsidP="00DD55A7">
      <w:pPr>
        <w:numPr>
          <w:ilvl w:val="0"/>
          <w:numId w:val="9"/>
        </w:numPr>
      </w:pPr>
      <w:r w:rsidRPr="00DD55A7">
        <w:t>Implementation Discount %</w:t>
      </w:r>
    </w:p>
    <w:p w14:paraId="6F4DFC6C" w14:textId="77777777" w:rsidR="00DD55A7" w:rsidRPr="00DD55A7" w:rsidRDefault="00DD55A7" w:rsidP="00DD55A7">
      <w:pPr>
        <w:numPr>
          <w:ilvl w:val="0"/>
          <w:numId w:val="9"/>
        </w:numPr>
      </w:pPr>
      <w:r w:rsidRPr="00DD55A7">
        <w:t>Payment Terms</w:t>
      </w:r>
    </w:p>
    <w:p w14:paraId="1DD99ED1" w14:textId="77777777" w:rsidR="00DD55A7" w:rsidRPr="00DD55A7" w:rsidRDefault="00DD55A7" w:rsidP="00DD55A7">
      <w:pPr>
        <w:numPr>
          <w:ilvl w:val="0"/>
          <w:numId w:val="9"/>
        </w:numPr>
      </w:pPr>
      <w:r w:rsidRPr="00DD55A7">
        <w:t>Billing Schedule</w:t>
      </w:r>
    </w:p>
    <w:p w14:paraId="40AE7AD6" w14:textId="77777777" w:rsidR="00DD55A7" w:rsidRPr="00DD55A7" w:rsidRDefault="00DD55A7" w:rsidP="00DD55A7">
      <w:pPr>
        <w:numPr>
          <w:ilvl w:val="0"/>
          <w:numId w:val="9"/>
        </w:numPr>
      </w:pPr>
      <w:r w:rsidRPr="00DD55A7">
        <w:t>Custom Pricing</w:t>
      </w:r>
    </w:p>
    <w:p w14:paraId="00AB4574" w14:textId="77777777" w:rsidR="00DD55A7" w:rsidRPr="00DD55A7" w:rsidRDefault="00DD55A7" w:rsidP="00DD55A7">
      <w:pPr>
        <w:numPr>
          <w:ilvl w:val="0"/>
          <w:numId w:val="9"/>
        </w:numPr>
      </w:pPr>
      <w:r w:rsidRPr="00DD55A7">
        <w:t>Nonstandard Contract Terms</w:t>
      </w:r>
    </w:p>
    <w:p w14:paraId="45942139" w14:textId="77777777" w:rsidR="00DD55A7" w:rsidRPr="00DD55A7" w:rsidRDefault="00DD55A7" w:rsidP="00DD55A7">
      <w:pPr>
        <w:numPr>
          <w:ilvl w:val="0"/>
          <w:numId w:val="9"/>
        </w:numPr>
      </w:pPr>
      <w:r w:rsidRPr="00DD55A7">
        <w:t>Deal Desk Required</w:t>
      </w:r>
    </w:p>
    <w:p w14:paraId="5ECB5662" w14:textId="77777777" w:rsidR="00DD55A7" w:rsidRPr="00DD55A7" w:rsidRDefault="00DD55A7" w:rsidP="00DD55A7">
      <w:pPr>
        <w:numPr>
          <w:ilvl w:val="0"/>
          <w:numId w:val="9"/>
        </w:numPr>
      </w:pPr>
      <w:r w:rsidRPr="00DD55A7">
        <w:t>Deal Desk Approval Status</w:t>
      </w:r>
    </w:p>
    <w:p w14:paraId="39BDC844" w14:textId="77777777" w:rsidR="00DD55A7" w:rsidRPr="00DD55A7" w:rsidRDefault="00DD55A7" w:rsidP="00DD55A7">
      <w:r w:rsidRPr="00DD55A7">
        <w:t>A formula field automatically determines whether an opportunity requires Deal Desk review based on commercial conditions including:</w:t>
      </w:r>
    </w:p>
    <w:p w14:paraId="40B8AA4D" w14:textId="77777777" w:rsidR="00DD55A7" w:rsidRPr="00DD55A7" w:rsidRDefault="00DD55A7" w:rsidP="00DD55A7">
      <w:pPr>
        <w:numPr>
          <w:ilvl w:val="0"/>
          <w:numId w:val="10"/>
        </w:numPr>
      </w:pPr>
      <w:r w:rsidRPr="00DD55A7">
        <w:t>Discount greater than 10%</w:t>
      </w:r>
    </w:p>
    <w:p w14:paraId="076A1E66" w14:textId="77777777" w:rsidR="00DD55A7" w:rsidRPr="00DD55A7" w:rsidRDefault="00DD55A7" w:rsidP="00DD55A7">
      <w:pPr>
        <w:numPr>
          <w:ilvl w:val="0"/>
          <w:numId w:val="10"/>
        </w:numPr>
      </w:pPr>
      <w:r w:rsidRPr="00DD55A7">
        <w:t>Net ARR of at least $100,000</w:t>
      </w:r>
    </w:p>
    <w:p w14:paraId="0D1CDB0B" w14:textId="77777777" w:rsidR="00DD55A7" w:rsidRPr="00DD55A7" w:rsidRDefault="00DD55A7" w:rsidP="00DD55A7">
      <w:pPr>
        <w:numPr>
          <w:ilvl w:val="0"/>
          <w:numId w:val="10"/>
        </w:numPr>
      </w:pPr>
      <w:r w:rsidRPr="00DD55A7">
        <w:t>Nonstandard payment terms</w:t>
      </w:r>
    </w:p>
    <w:p w14:paraId="270BDA03" w14:textId="77777777" w:rsidR="00DD55A7" w:rsidRPr="00DD55A7" w:rsidRDefault="00DD55A7" w:rsidP="00DD55A7">
      <w:pPr>
        <w:numPr>
          <w:ilvl w:val="0"/>
          <w:numId w:val="10"/>
        </w:numPr>
      </w:pPr>
      <w:r w:rsidRPr="00DD55A7">
        <w:t>Nonstandard billing schedule</w:t>
      </w:r>
    </w:p>
    <w:p w14:paraId="0CB77498" w14:textId="77777777" w:rsidR="00DD55A7" w:rsidRPr="00DD55A7" w:rsidRDefault="00DD55A7" w:rsidP="00DD55A7">
      <w:pPr>
        <w:numPr>
          <w:ilvl w:val="0"/>
          <w:numId w:val="10"/>
        </w:numPr>
      </w:pPr>
      <w:r w:rsidRPr="00DD55A7">
        <w:t>Custom pricing</w:t>
      </w:r>
    </w:p>
    <w:p w14:paraId="750093FA" w14:textId="77777777" w:rsidR="00DD55A7" w:rsidRPr="00DD55A7" w:rsidRDefault="00DD55A7" w:rsidP="00DD55A7">
      <w:pPr>
        <w:numPr>
          <w:ilvl w:val="0"/>
          <w:numId w:val="10"/>
        </w:numPr>
      </w:pPr>
      <w:r w:rsidRPr="00DD55A7">
        <w:t>Nonstandard contract terms</w:t>
      </w:r>
    </w:p>
    <w:p w14:paraId="3239D6D5" w14:textId="77777777" w:rsidR="00DD55A7" w:rsidRPr="00DD55A7" w:rsidRDefault="00DD55A7" w:rsidP="00DD55A7">
      <w:pPr>
        <w:numPr>
          <w:ilvl w:val="0"/>
          <w:numId w:val="10"/>
        </w:numPr>
      </w:pPr>
      <w:r w:rsidRPr="00DD55A7">
        <w:t>Implementation discount greater than 20%</w:t>
      </w:r>
    </w:p>
    <w:p w14:paraId="6FF36A57" w14:textId="77777777" w:rsidR="00DD55A7" w:rsidRPr="00DD55A7" w:rsidRDefault="00DD55A7" w:rsidP="00DD55A7">
      <w:pPr>
        <w:numPr>
          <w:ilvl w:val="0"/>
          <w:numId w:val="10"/>
        </w:numPr>
      </w:pPr>
      <w:r w:rsidRPr="00DD55A7">
        <w:t>Customer employee count below 20</w:t>
      </w:r>
    </w:p>
    <w:p w14:paraId="684377F3" w14:textId="77777777" w:rsidR="00DD55A7" w:rsidRPr="00DD55A7" w:rsidRDefault="00DD55A7" w:rsidP="00DD55A7">
      <w:pPr>
        <w:numPr>
          <w:ilvl w:val="0"/>
          <w:numId w:val="10"/>
        </w:numPr>
      </w:pPr>
      <w:r w:rsidRPr="00DD55A7">
        <w:t>Customer employee count of 2,500 or more</w:t>
      </w:r>
    </w:p>
    <w:p w14:paraId="7F5D984A" w14:textId="77777777" w:rsidR="00DD55A7" w:rsidRPr="00DD55A7" w:rsidRDefault="00DD55A7" w:rsidP="00DD55A7">
      <w:r w:rsidRPr="00DD55A7">
        <w:lastRenderedPageBreak/>
        <w:t>An Account Segment formula also assigns customers to the defined segmentation model based on employee count.</w:t>
      </w:r>
    </w:p>
    <w:p w14:paraId="44A8481E" w14:textId="77777777" w:rsidR="00DD55A7" w:rsidRPr="00DD55A7" w:rsidRDefault="00DD55A7" w:rsidP="00DD55A7">
      <w:r w:rsidRPr="00DD55A7">
        <w:t>Five Salesforce validation rules were implemented to enforce critical opportunity standards:</w:t>
      </w:r>
    </w:p>
    <w:p w14:paraId="06E37CD8" w14:textId="77777777" w:rsidR="00DD55A7" w:rsidRPr="00DD55A7" w:rsidRDefault="00DD55A7" w:rsidP="00DD55A7">
      <w:pPr>
        <w:numPr>
          <w:ilvl w:val="0"/>
          <w:numId w:val="11"/>
        </w:numPr>
      </w:pPr>
      <w:r w:rsidRPr="00DD55A7">
        <w:t>Require Next Step for open opportunities.</w:t>
      </w:r>
    </w:p>
    <w:p w14:paraId="60392B0E" w14:textId="77777777" w:rsidR="00DD55A7" w:rsidRPr="00DD55A7" w:rsidRDefault="00DD55A7" w:rsidP="00DD55A7">
      <w:pPr>
        <w:numPr>
          <w:ilvl w:val="0"/>
          <w:numId w:val="11"/>
        </w:numPr>
      </w:pPr>
      <w:r w:rsidRPr="00DD55A7">
        <w:t>Require Lead Source for open opportunities.</w:t>
      </w:r>
    </w:p>
    <w:p w14:paraId="0C35A7F5" w14:textId="77777777" w:rsidR="00DD55A7" w:rsidRPr="00DD55A7" w:rsidRDefault="00DD55A7" w:rsidP="00DD55A7">
      <w:pPr>
        <w:numPr>
          <w:ilvl w:val="0"/>
          <w:numId w:val="11"/>
        </w:numPr>
      </w:pPr>
      <w:r w:rsidRPr="00DD55A7">
        <w:t>Require positive Net ARR for open opportunities.</w:t>
      </w:r>
    </w:p>
    <w:p w14:paraId="01791CC0" w14:textId="77777777" w:rsidR="00DD55A7" w:rsidRPr="00DD55A7" w:rsidRDefault="00DD55A7" w:rsidP="00DD55A7">
      <w:pPr>
        <w:numPr>
          <w:ilvl w:val="0"/>
          <w:numId w:val="11"/>
        </w:numPr>
      </w:pPr>
      <w:r w:rsidRPr="00DD55A7">
        <w:t>Require Payment Terms and Billing Schedule beginning at Proposal.</w:t>
      </w:r>
    </w:p>
    <w:p w14:paraId="1E50B4D0" w14:textId="77777777" w:rsidR="00DD55A7" w:rsidRPr="00DD55A7" w:rsidRDefault="00DD55A7" w:rsidP="00DD55A7">
      <w:pPr>
        <w:numPr>
          <w:ilvl w:val="0"/>
          <w:numId w:val="11"/>
        </w:numPr>
      </w:pPr>
      <w:r w:rsidRPr="00DD55A7">
        <w:t>Prevent a Deal Desk-required opportunity from advancing to Commit or Closed Won unless Deal Desk Approval Status is Approved.</w:t>
      </w:r>
    </w:p>
    <w:p w14:paraId="193558D9" w14:textId="77777777" w:rsidR="00DD55A7" w:rsidRPr="00DD55A7" w:rsidRDefault="00DD55A7" w:rsidP="00DD55A7">
      <w:r w:rsidRPr="00DD55A7">
        <w:t>The controls were tested with sample opportunities representing standard commercial deals, discounted transactions, enterprise ARR thresholds, and customer-size exceptions.</w:t>
      </w:r>
    </w:p>
    <w:p w14:paraId="2E9E2E2C" w14:textId="77777777" w:rsidR="00DD55A7" w:rsidRPr="00DD55A7" w:rsidRDefault="00DD55A7" w:rsidP="00DD55A7">
      <w:r w:rsidRPr="00DD55A7">
        <w:t>Salesforce reports were also created for open pipeline ARR by stage, Deal Desk-required pipeline, and Deal Desk approval status. These reports were combined into an operational Revenue Operations Governance Dashboard.</w:t>
      </w:r>
    </w:p>
    <w:p w14:paraId="2A91FB83" w14:textId="0722B17A" w:rsidR="00DD55A7" w:rsidRPr="00DD55A7" w:rsidRDefault="00DD55A7" w:rsidP="00DD55A7">
      <w:r w:rsidRPr="00DD55A7">
        <w:t>The Salesforce implementation demonstrates an important distinction within the project: reporting identifies problems after or while they occur, while validation rules and formula logic can prevent specific governance failures before they progress further through the sales process.</w:t>
      </w:r>
    </w:p>
    <w:p w14:paraId="33AE3D39" w14:textId="2203964D" w:rsidR="00DD55A7" w:rsidRPr="00A1742E" w:rsidRDefault="00A1742E" w:rsidP="00A1742E">
      <w:pPr>
        <w:rPr>
          <w:b/>
          <w:bCs/>
        </w:rPr>
      </w:pPr>
      <w:r w:rsidRPr="00A1742E">
        <w:rPr>
          <w:b/>
          <w:bCs/>
        </w:rPr>
        <w:t>7.</w:t>
      </w:r>
      <w:r>
        <w:rPr>
          <w:b/>
          <w:bCs/>
        </w:rPr>
        <w:t xml:space="preserve"> </w:t>
      </w:r>
      <w:r w:rsidR="00DD55A7" w:rsidRPr="00A1742E">
        <w:rPr>
          <w:b/>
          <w:bCs/>
        </w:rPr>
        <w:t>Reporting &amp; Analytics</w:t>
      </w:r>
    </w:p>
    <w:p w14:paraId="47426A83" w14:textId="77777777" w:rsidR="00A1742E" w:rsidRPr="00A1742E" w:rsidRDefault="00A1742E" w:rsidP="00A1742E">
      <w:r w:rsidRPr="00A1742E">
        <w:t>Power BI was used to build the executive analytical layer of the project.</w:t>
      </w:r>
    </w:p>
    <w:p w14:paraId="59FD0273" w14:textId="77777777" w:rsidR="00A1742E" w:rsidRPr="00A1742E" w:rsidRDefault="00A1742E" w:rsidP="00A1742E">
      <w:r w:rsidRPr="00A1742E">
        <w:t>The final dashboard contains six pages:</w:t>
      </w:r>
    </w:p>
    <w:p w14:paraId="5A53CDF7" w14:textId="77777777" w:rsidR="00A1742E" w:rsidRPr="00A1742E" w:rsidRDefault="00A1742E" w:rsidP="00A1742E">
      <w:pPr>
        <w:numPr>
          <w:ilvl w:val="0"/>
          <w:numId w:val="12"/>
        </w:numPr>
      </w:pPr>
      <w:r w:rsidRPr="00A1742E">
        <w:t>Executive Overview</w:t>
      </w:r>
    </w:p>
    <w:p w14:paraId="5C1174EA" w14:textId="77777777" w:rsidR="00A1742E" w:rsidRPr="00A1742E" w:rsidRDefault="00A1742E" w:rsidP="00A1742E">
      <w:pPr>
        <w:numPr>
          <w:ilvl w:val="0"/>
          <w:numId w:val="12"/>
        </w:numPr>
      </w:pPr>
      <w:r w:rsidRPr="00A1742E">
        <w:t>Pipeline Health</w:t>
      </w:r>
    </w:p>
    <w:p w14:paraId="24BF1C56" w14:textId="77777777" w:rsidR="00A1742E" w:rsidRPr="00A1742E" w:rsidRDefault="00A1742E" w:rsidP="00A1742E">
      <w:pPr>
        <w:numPr>
          <w:ilvl w:val="0"/>
          <w:numId w:val="12"/>
        </w:numPr>
      </w:pPr>
      <w:r w:rsidRPr="00A1742E">
        <w:t>Sales Performance</w:t>
      </w:r>
    </w:p>
    <w:p w14:paraId="52AED539" w14:textId="77777777" w:rsidR="00A1742E" w:rsidRPr="00A1742E" w:rsidRDefault="00A1742E" w:rsidP="00A1742E">
      <w:pPr>
        <w:numPr>
          <w:ilvl w:val="0"/>
          <w:numId w:val="12"/>
        </w:numPr>
      </w:pPr>
      <w:r w:rsidRPr="00A1742E">
        <w:t>Lead Funnel &amp; Source</w:t>
      </w:r>
    </w:p>
    <w:p w14:paraId="1836DE93" w14:textId="77777777" w:rsidR="00A1742E" w:rsidRPr="00A1742E" w:rsidRDefault="00A1742E" w:rsidP="00A1742E">
      <w:pPr>
        <w:numPr>
          <w:ilvl w:val="0"/>
          <w:numId w:val="12"/>
        </w:numPr>
      </w:pPr>
      <w:r w:rsidRPr="00A1742E">
        <w:t>Forecast Reliability</w:t>
      </w:r>
    </w:p>
    <w:p w14:paraId="0C057257" w14:textId="77777777" w:rsidR="00A1742E" w:rsidRPr="00A1742E" w:rsidRDefault="00A1742E" w:rsidP="00A1742E">
      <w:pPr>
        <w:numPr>
          <w:ilvl w:val="0"/>
          <w:numId w:val="12"/>
        </w:numPr>
      </w:pPr>
      <w:r w:rsidRPr="00A1742E">
        <w:t>CRM &amp; Deal Desk Governance</w:t>
      </w:r>
    </w:p>
    <w:p w14:paraId="48002B47" w14:textId="77777777" w:rsidR="00A1742E" w:rsidRPr="00A1742E" w:rsidRDefault="00A1742E" w:rsidP="00A1742E">
      <w:r w:rsidRPr="00A1742E">
        <w:lastRenderedPageBreak/>
        <w:t>The dashboard combines executive KPIs with diagnostic views that allow users to move from overall revenue performance into specific operational risks.</w:t>
      </w:r>
    </w:p>
    <w:p w14:paraId="49891B0F" w14:textId="77777777" w:rsidR="00A1742E" w:rsidRPr="00A1742E" w:rsidRDefault="00A1742E" w:rsidP="00A1742E">
      <w:r w:rsidRPr="00A1742E">
        <w:t>Key measures include:</w:t>
      </w:r>
    </w:p>
    <w:p w14:paraId="2BDFE73E" w14:textId="77777777" w:rsidR="00A1742E" w:rsidRPr="00A1742E" w:rsidRDefault="00A1742E" w:rsidP="00A1742E">
      <w:pPr>
        <w:numPr>
          <w:ilvl w:val="0"/>
          <w:numId w:val="13"/>
        </w:numPr>
      </w:pPr>
      <w:r w:rsidRPr="00A1742E">
        <w:t>Open Pipeline ARR</w:t>
      </w:r>
    </w:p>
    <w:p w14:paraId="47B6F25D" w14:textId="77777777" w:rsidR="00A1742E" w:rsidRPr="00A1742E" w:rsidRDefault="00A1742E" w:rsidP="00A1742E">
      <w:pPr>
        <w:numPr>
          <w:ilvl w:val="0"/>
          <w:numId w:val="13"/>
        </w:numPr>
      </w:pPr>
      <w:r w:rsidRPr="00A1742E">
        <w:t>Closed Won ARR</w:t>
      </w:r>
    </w:p>
    <w:p w14:paraId="507CC681" w14:textId="77777777" w:rsidR="00A1742E" w:rsidRPr="00A1742E" w:rsidRDefault="00A1742E" w:rsidP="00A1742E">
      <w:pPr>
        <w:numPr>
          <w:ilvl w:val="0"/>
          <w:numId w:val="13"/>
        </w:numPr>
      </w:pPr>
      <w:r w:rsidRPr="00A1742E">
        <w:t>Win Rate</w:t>
      </w:r>
    </w:p>
    <w:p w14:paraId="5DD83235" w14:textId="77777777" w:rsidR="00A1742E" w:rsidRPr="00A1742E" w:rsidRDefault="00A1742E" w:rsidP="00A1742E">
      <w:pPr>
        <w:numPr>
          <w:ilvl w:val="0"/>
          <w:numId w:val="13"/>
        </w:numPr>
      </w:pPr>
      <w:r w:rsidRPr="00A1742E">
        <w:t>Opportunity counts</w:t>
      </w:r>
    </w:p>
    <w:p w14:paraId="4A0AF1F2" w14:textId="77777777" w:rsidR="00A1742E" w:rsidRPr="00A1742E" w:rsidRDefault="00A1742E" w:rsidP="00A1742E">
      <w:pPr>
        <w:numPr>
          <w:ilvl w:val="0"/>
          <w:numId w:val="13"/>
        </w:numPr>
      </w:pPr>
      <w:r w:rsidRPr="00A1742E">
        <w:t>Pipeline-health segmentation</w:t>
      </w:r>
    </w:p>
    <w:p w14:paraId="20F0B0D3" w14:textId="77777777" w:rsidR="00A1742E" w:rsidRPr="00A1742E" w:rsidRDefault="00A1742E" w:rsidP="00A1742E">
      <w:pPr>
        <w:numPr>
          <w:ilvl w:val="0"/>
          <w:numId w:val="13"/>
        </w:numPr>
      </w:pPr>
      <w:r w:rsidRPr="00A1742E">
        <w:t>ARR at risk</w:t>
      </w:r>
    </w:p>
    <w:p w14:paraId="4CBC554F" w14:textId="77777777" w:rsidR="00A1742E" w:rsidRPr="00A1742E" w:rsidRDefault="00A1742E" w:rsidP="00A1742E">
      <w:pPr>
        <w:numPr>
          <w:ilvl w:val="0"/>
          <w:numId w:val="13"/>
        </w:numPr>
      </w:pPr>
      <w:r w:rsidRPr="00A1742E">
        <w:t>Lead conversion</w:t>
      </w:r>
    </w:p>
    <w:p w14:paraId="70219C8D" w14:textId="77777777" w:rsidR="00A1742E" w:rsidRPr="00A1742E" w:rsidRDefault="00A1742E" w:rsidP="00A1742E">
      <w:pPr>
        <w:numPr>
          <w:ilvl w:val="0"/>
          <w:numId w:val="13"/>
        </w:numPr>
      </w:pPr>
      <w:r w:rsidRPr="00A1742E">
        <w:t>Routing compatibility</w:t>
      </w:r>
    </w:p>
    <w:p w14:paraId="547FB9CB" w14:textId="77777777" w:rsidR="00A1742E" w:rsidRPr="00A1742E" w:rsidRDefault="00A1742E" w:rsidP="00A1742E">
      <w:pPr>
        <w:numPr>
          <w:ilvl w:val="0"/>
          <w:numId w:val="13"/>
        </w:numPr>
      </w:pPr>
      <w:r w:rsidRPr="00A1742E">
        <w:t>Forecast alignment</w:t>
      </w:r>
    </w:p>
    <w:p w14:paraId="4307823A" w14:textId="77777777" w:rsidR="00A1742E" w:rsidRPr="00A1742E" w:rsidRDefault="00A1742E" w:rsidP="00A1742E">
      <w:pPr>
        <w:numPr>
          <w:ilvl w:val="0"/>
          <w:numId w:val="13"/>
        </w:numPr>
      </w:pPr>
      <w:r w:rsidRPr="00A1742E">
        <w:t>Deal Desk flag accuracy</w:t>
      </w:r>
    </w:p>
    <w:p w14:paraId="121BD0FA" w14:textId="77777777" w:rsidR="00A1742E" w:rsidRPr="00A1742E" w:rsidRDefault="00A1742E" w:rsidP="00A1742E">
      <w:pPr>
        <w:numPr>
          <w:ilvl w:val="0"/>
          <w:numId w:val="13"/>
        </w:numPr>
      </w:pPr>
      <w:r w:rsidRPr="00A1742E">
        <w:t>Approval-evidence coverage</w:t>
      </w:r>
    </w:p>
    <w:p w14:paraId="502CBB7F" w14:textId="77777777" w:rsidR="00A1742E" w:rsidRPr="00A1742E" w:rsidRDefault="00A1742E" w:rsidP="00A1742E">
      <w:pPr>
        <w:numPr>
          <w:ilvl w:val="0"/>
          <w:numId w:val="13"/>
        </w:numPr>
      </w:pPr>
      <w:r w:rsidRPr="00A1742E">
        <w:t>CRM completeness gaps</w:t>
      </w:r>
    </w:p>
    <w:p w14:paraId="5F21C536" w14:textId="77777777" w:rsidR="00A1742E" w:rsidRPr="00A1742E" w:rsidRDefault="00A1742E" w:rsidP="00A1742E">
      <w:r w:rsidRPr="00A1742E">
        <w:t>The Excel audit workbook complements Power BI by supporting record-level exception analysis and reconciliation.</w:t>
      </w:r>
    </w:p>
    <w:p w14:paraId="2D978CCC" w14:textId="77777777" w:rsidR="00A1742E" w:rsidRPr="00A1742E" w:rsidRDefault="00A1742E" w:rsidP="00A1742E">
      <w:r w:rsidRPr="00A1742E">
        <w:t>Its primary tabs include:</w:t>
      </w:r>
    </w:p>
    <w:p w14:paraId="2A014255" w14:textId="77777777" w:rsidR="00A1742E" w:rsidRPr="00A1742E" w:rsidRDefault="00A1742E" w:rsidP="00A1742E">
      <w:pPr>
        <w:numPr>
          <w:ilvl w:val="0"/>
          <w:numId w:val="14"/>
        </w:numPr>
      </w:pPr>
      <w:r w:rsidRPr="00A1742E">
        <w:t>Audit Summary</w:t>
      </w:r>
    </w:p>
    <w:p w14:paraId="0D5A70A7" w14:textId="77777777" w:rsidR="00A1742E" w:rsidRPr="00A1742E" w:rsidRDefault="00A1742E" w:rsidP="00A1742E">
      <w:pPr>
        <w:numPr>
          <w:ilvl w:val="0"/>
          <w:numId w:val="14"/>
        </w:numPr>
      </w:pPr>
      <w:r w:rsidRPr="00A1742E">
        <w:t>Account Audit</w:t>
      </w:r>
    </w:p>
    <w:p w14:paraId="61A06BDE" w14:textId="77777777" w:rsidR="00A1742E" w:rsidRPr="00A1742E" w:rsidRDefault="00A1742E" w:rsidP="00A1742E">
      <w:pPr>
        <w:numPr>
          <w:ilvl w:val="0"/>
          <w:numId w:val="14"/>
        </w:numPr>
      </w:pPr>
      <w:r w:rsidRPr="00A1742E">
        <w:t>Lead Routing</w:t>
      </w:r>
    </w:p>
    <w:p w14:paraId="6256FC23" w14:textId="77777777" w:rsidR="00A1742E" w:rsidRPr="00A1742E" w:rsidRDefault="00A1742E" w:rsidP="00A1742E">
      <w:pPr>
        <w:numPr>
          <w:ilvl w:val="0"/>
          <w:numId w:val="14"/>
        </w:numPr>
      </w:pPr>
      <w:r w:rsidRPr="00A1742E">
        <w:t>Pipeline Audit</w:t>
      </w:r>
    </w:p>
    <w:p w14:paraId="3E13B869" w14:textId="77777777" w:rsidR="00A1742E" w:rsidRPr="00A1742E" w:rsidRDefault="00A1742E" w:rsidP="00A1742E">
      <w:pPr>
        <w:numPr>
          <w:ilvl w:val="0"/>
          <w:numId w:val="14"/>
        </w:numPr>
      </w:pPr>
      <w:r w:rsidRPr="00A1742E">
        <w:t>Deal Desk Audit</w:t>
      </w:r>
    </w:p>
    <w:p w14:paraId="15966AFD" w14:textId="77777777" w:rsidR="00A1742E" w:rsidRPr="00A1742E" w:rsidRDefault="00A1742E" w:rsidP="00A1742E">
      <w:pPr>
        <w:numPr>
          <w:ilvl w:val="0"/>
          <w:numId w:val="14"/>
        </w:numPr>
      </w:pPr>
      <w:r w:rsidRPr="00A1742E">
        <w:t>Pivot Analysis</w:t>
      </w:r>
    </w:p>
    <w:p w14:paraId="46933364" w14:textId="77777777" w:rsidR="00A1742E" w:rsidRPr="00A1742E" w:rsidRDefault="00A1742E" w:rsidP="00A1742E">
      <w:pPr>
        <w:numPr>
          <w:ilvl w:val="0"/>
          <w:numId w:val="14"/>
        </w:numPr>
      </w:pPr>
      <w:r w:rsidRPr="00A1742E">
        <w:t>Reconciliation</w:t>
      </w:r>
    </w:p>
    <w:p w14:paraId="555C02FC" w14:textId="4C7CBD80" w:rsidR="00A1742E" w:rsidRPr="00DD55A7" w:rsidRDefault="00A1742E" w:rsidP="00A1742E">
      <w:r w:rsidRPr="00A1742E">
        <w:t>SQL, Excel, and Power BI outputs were reconciled so that major metrics could be validated across multiple analytical layers rather than relying on a single reporting tool.</w:t>
      </w:r>
    </w:p>
    <w:p w14:paraId="3E6F762B" w14:textId="096F0D8E" w:rsidR="00DD55A7" w:rsidRPr="00A1742E" w:rsidRDefault="00A1742E" w:rsidP="00A1742E">
      <w:pPr>
        <w:rPr>
          <w:b/>
          <w:bCs/>
        </w:rPr>
      </w:pPr>
      <w:r w:rsidRPr="00A1742E">
        <w:rPr>
          <w:b/>
          <w:bCs/>
        </w:rPr>
        <w:lastRenderedPageBreak/>
        <w:t>8.</w:t>
      </w:r>
      <w:r>
        <w:rPr>
          <w:b/>
          <w:bCs/>
        </w:rPr>
        <w:t xml:space="preserve"> </w:t>
      </w:r>
      <w:r w:rsidR="00DD55A7" w:rsidRPr="00A1742E">
        <w:rPr>
          <w:b/>
          <w:bCs/>
        </w:rPr>
        <w:t>Process Design &amp; SOPs</w:t>
      </w:r>
    </w:p>
    <w:p w14:paraId="18EB5899" w14:textId="77777777" w:rsidR="00A1742E" w:rsidRPr="00A1742E" w:rsidRDefault="00A1742E" w:rsidP="00A1742E">
      <w:r w:rsidRPr="00A1742E">
        <w:t>Three core RevOps workflows were documented as formal process designs.</w:t>
      </w:r>
    </w:p>
    <w:p w14:paraId="21E860C6" w14:textId="77777777" w:rsidR="00A1742E" w:rsidRDefault="00A1742E" w:rsidP="00A1742E">
      <w:pPr>
        <w:rPr>
          <w:b/>
          <w:bCs/>
        </w:rPr>
      </w:pPr>
    </w:p>
    <w:p w14:paraId="17B2A978" w14:textId="1945B2C8" w:rsidR="00A1742E" w:rsidRPr="00A1742E" w:rsidRDefault="00A1742E" w:rsidP="00A1742E">
      <w:pPr>
        <w:rPr>
          <w:b/>
          <w:bCs/>
        </w:rPr>
      </w:pPr>
      <w:r w:rsidRPr="00A1742E">
        <w:rPr>
          <w:b/>
          <w:bCs/>
        </w:rPr>
        <w:t>Marketing-to-Sales Lead Handoff</w:t>
      </w:r>
    </w:p>
    <w:p w14:paraId="3C1C29CD" w14:textId="77777777" w:rsidR="00A1742E" w:rsidRPr="00A1742E" w:rsidRDefault="00A1742E" w:rsidP="00A1742E">
      <w:r w:rsidRPr="00A1742E">
        <w:t>The process defines how leads progress from Lead to MQL, SQL, Opportunity, and Customer while clarifying system ownership between HubSpot and Salesforce.</w:t>
      </w:r>
    </w:p>
    <w:p w14:paraId="1F7C62B5" w14:textId="77777777" w:rsidR="00A1742E" w:rsidRPr="00A1742E" w:rsidRDefault="00A1742E" w:rsidP="00A1742E">
      <w:r w:rsidRPr="00A1742E">
        <w:t>It also documents qualification criteria, segment-and-territory routing, SDR assignment, the four-business-hour initial response target, and the treatment of leads requiring continued follow-up or nurturing.</w:t>
      </w:r>
    </w:p>
    <w:p w14:paraId="01E38D4E" w14:textId="77777777" w:rsidR="00A1742E" w:rsidRPr="00A1742E" w:rsidRDefault="00A1742E" w:rsidP="00A1742E">
      <w:pPr>
        <w:rPr>
          <w:b/>
          <w:bCs/>
        </w:rPr>
      </w:pPr>
      <w:r w:rsidRPr="00A1742E">
        <w:rPr>
          <w:b/>
          <w:bCs/>
        </w:rPr>
        <w:t>Opportunity Pipeline Governance</w:t>
      </w:r>
    </w:p>
    <w:p w14:paraId="11B08AC2" w14:textId="77777777" w:rsidR="00A1742E" w:rsidRPr="00A1742E" w:rsidRDefault="00A1742E" w:rsidP="00A1742E">
      <w:r w:rsidRPr="00A1742E">
        <w:t>The pipeline-governance process documents opportunity stages, probabilities, expected forecast categories, required CRM data, preventative Salesforce controls, and recurring RevOps monitoring.</w:t>
      </w:r>
    </w:p>
    <w:p w14:paraId="3CC7E868" w14:textId="77777777" w:rsidR="00A1742E" w:rsidRPr="00A1742E" w:rsidRDefault="00A1742E" w:rsidP="00A1742E">
      <w:r w:rsidRPr="00A1742E">
        <w:t>It explicitly separates preventative controls from monitoring activities such as identifying stale opportunities, overdue close dates, missing fields, and forecast misalignment.</w:t>
      </w:r>
    </w:p>
    <w:p w14:paraId="5C2BA38A" w14:textId="77777777" w:rsidR="00A1742E" w:rsidRPr="00A1742E" w:rsidRDefault="00A1742E" w:rsidP="00A1742E">
      <w:pPr>
        <w:rPr>
          <w:b/>
          <w:bCs/>
        </w:rPr>
      </w:pPr>
      <w:r w:rsidRPr="00A1742E">
        <w:rPr>
          <w:b/>
          <w:bCs/>
        </w:rPr>
        <w:t>Deal Desk Approval Workflow</w:t>
      </w:r>
    </w:p>
    <w:p w14:paraId="112DC319" w14:textId="77777777" w:rsidR="00A1742E" w:rsidRPr="00A1742E" w:rsidRDefault="00A1742E" w:rsidP="00A1742E">
      <w:r w:rsidRPr="00A1742E">
        <w:t>The Deal Desk process defines commercial-review triggers, submission requirements, approver routing, discount thresholds, decision statuses, and the Salesforce approval gate.</w:t>
      </w:r>
    </w:p>
    <w:p w14:paraId="23A24105" w14:textId="77777777" w:rsidR="00A1742E" w:rsidRPr="00A1742E" w:rsidRDefault="00A1742E" w:rsidP="00A1742E">
      <w:r w:rsidRPr="00A1742E">
        <w:t>Discount authority was defined as:</w:t>
      </w:r>
    </w:p>
    <w:p w14:paraId="22A5135E" w14:textId="77777777" w:rsidR="00A1742E" w:rsidRPr="00A1742E" w:rsidRDefault="00A1742E" w:rsidP="00A1742E">
      <w:pPr>
        <w:numPr>
          <w:ilvl w:val="0"/>
          <w:numId w:val="15"/>
        </w:numPr>
      </w:pPr>
      <w:r w:rsidRPr="00A1742E">
        <w:t>0–10% — AE discretion</w:t>
      </w:r>
    </w:p>
    <w:p w14:paraId="31E4B99E" w14:textId="77777777" w:rsidR="00A1742E" w:rsidRPr="00A1742E" w:rsidRDefault="00A1742E" w:rsidP="00A1742E">
      <w:pPr>
        <w:numPr>
          <w:ilvl w:val="0"/>
          <w:numId w:val="15"/>
        </w:numPr>
      </w:pPr>
      <w:r w:rsidRPr="00A1742E">
        <w:t>Greater than 10–20% — Sales Manager</w:t>
      </w:r>
    </w:p>
    <w:p w14:paraId="2EB1AC47" w14:textId="77777777" w:rsidR="00A1742E" w:rsidRPr="00A1742E" w:rsidRDefault="00A1742E" w:rsidP="00A1742E">
      <w:pPr>
        <w:numPr>
          <w:ilvl w:val="0"/>
          <w:numId w:val="15"/>
        </w:numPr>
      </w:pPr>
      <w:r w:rsidRPr="00A1742E">
        <w:t>Greater than 20–25% — Director of Sales + Revenue Operations</w:t>
      </w:r>
    </w:p>
    <w:p w14:paraId="712AFD60" w14:textId="77777777" w:rsidR="00A1742E" w:rsidRPr="00A1742E" w:rsidRDefault="00A1742E" w:rsidP="00A1742E">
      <w:pPr>
        <w:numPr>
          <w:ilvl w:val="0"/>
          <w:numId w:val="15"/>
        </w:numPr>
      </w:pPr>
      <w:r w:rsidRPr="00A1742E">
        <w:t xml:space="preserve">Greater than </w:t>
      </w:r>
      <w:proofErr w:type="gramStart"/>
      <w:r w:rsidRPr="00A1742E">
        <w:t>25% —</w:t>
      </w:r>
      <w:proofErr w:type="gramEnd"/>
      <w:r w:rsidRPr="00A1742E">
        <w:t xml:space="preserve"> VP Revenue + Finance</w:t>
      </w:r>
    </w:p>
    <w:p w14:paraId="1947470F" w14:textId="77777777" w:rsidR="00A1742E" w:rsidRPr="00A1742E" w:rsidRDefault="00A1742E" w:rsidP="00A1742E">
      <w:pPr>
        <w:numPr>
          <w:ilvl w:val="0"/>
          <w:numId w:val="15"/>
        </w:numPr>
      </w:pPr>
      <w:r w:rsidRPr="00A1742E">
        <w:t>Greater than 30% — documented business justification required</w:t>
      </w:r>
    </w:p>
    <w:p w14:paraId="5E7DD59A" w14:textId="77777777" w:rsidR="00A1742E" w:rsidRPr="00A1742E" w:rsidRDefault="00A1742E" w:rsidP="00A1742E">
      <w:pPr>
        <w:numPr>
          <w:ilvl w:val="0"/>
          <w:numId w:val="15"/>
        </w:numPr>
      </w:pPr>
      <w:r w:rsidRPr="00A1742E">
        <w:t xml:space="preserve">Greater than </w:t>
      </w:r>
      <w:proofErr w:type="gramStart"/>
      <w:r w:rsidRPr="00A1742E">
        <w:t>35% —</w:t>
      </w:r>
      <w:proofErr w:type="gramEnd"/>
      <w:r w:rsidRPr="00A1742E">
        <w:t xml:space="preserve"> generally requires a specific executive exception</w:t>
      </w:r>
    </w:p>
    <w:p w14:paraId="5ED0AF00" w14:textId="54BE07FF" w:rsidR="00A1742E" w:rsidRPr="00DD55A7" w:rsidRDefault="00A1742E" w:rsidP="00A1742E">
      <w:r w:rsidRPr="00A1742E">
        <w:t>Supporting SOPs were created for all three processes so that the governance model could be executed consistently rather than existing only as diagrams.</w:t>
      </w:r>
    </w:p>
    <w:p w14:paraId="55152DE1" w14:textId="77777777" w:rsidR="00DD55A7" w:rsidRDefault="00DD55A7" w:rsidP="00DD55A7">
      <w:pPr>
        <w:rPr>
          <w:b/>
          <w:bCs/>
        </w:rPr>
      </w:pPr>
      <w:r w:rsidRPr="00DD55A7">
        <w:rPr>
          <w:b/>
          <w:bCs/>
        </w:rPr>
        <w:t>9. Executive Recommendations</w:t>
      </w:r>
    </w:p>
    <w:p w14:paraId="0D24C40F" w14:textId="77777777" w:rsidR="00A1742E" w:rsidRPr="00A1742E" w:rsidRDefault="00A1742E" w:rsidP="00A1742E">
      <w:r w:rsidRPr="00A1742E">
        <w:lastRenderedPageBreak/>
        <w:t>Five recommendations were prioritized based on the analysis and implementation work.</w:t>
      </w:r>
    </w:p>
    <w:p w14:paraId="56823C47" w14:textId="77777777" w:rsidR="00A1742E" w:rsidRPr="00A1742E" w:rsidRDefault="00A1742E" w:rsidP="00A1742E">
      <w:r w:rsidRPr="00A1742E">
        <w:rPr>
          <w:b/>
          <w:bCs/>
        </w:rPr>
        <w:t>Strengthen CRM Data Governance.</w:t>
      </w:r>
      <w:r w:rsidRPr="00A1742E">
        <w:br/>
        <w:t>AsterPeak should maintain required-field standards, segmentation logic, ownership rules, routing controls, and recurring data-quality audits. Preventative controls should be used where possible, with RevOps monitoring applied to issues that cannot be fully prevented through validation rules.</w:t>
      </w:r>
    </w:p>
    <w:p w14:paraId="5D4F5EE9" w14:textId="77777777" w:rsidR="00A1742E" w:rsidRPr="00A1742E" w:rsidRDefault="00A1742E" w:rsidP="00A1742E">
      <w:r w:rsidRPr="00A1742E">
        <w:rPr>
          <w:b/>
          <w:bCs/>
        </w:rPr>
        <w:t>Improve Pipeline Hygiene and Forecast Reliability.</w:t>
      </w:r>
      <w:r w:rsidRPr="00A1742E">
        <w:br/>
        <w:t>The organization should establish recurring reviews of stale opportunities, overdue close dates, incomplete records, stage accuracy, and forecast exceptions. The approximately $2.05 million of identified ARR at risk demonstrates the importance of systematically reviewing pipeline quality rather than relying solely on reported pipeline totals.</w:t>
      </w:r>
    </w:p>
    <w:p w14:paraId="48F8F8CB" w14:textId="77777777" w:rsidR="00A1742E" w:rsidRPr="00A1742E" w:rsidRDefault="00A1742E" w:rsidP="00A1742E">
      <w:r w:rsidRPr="00A1742E">
        <w:rPr>
          <w:b/>
          <w:bCs/>
        </w:rPr>
        <w:t>Formalize Marketing-to-Sales Handoff.</w:t>
      </w:r>
      <w:r w:rsidRPr="00A1742E">
        <w:br/>
        <w:t>MQL criteria, segment-and-territory routing, SDR ownership, system responsibilities, and the four-business-hour response target should remain clearly defined and monitored.</w:t>
      </w:r>
    </w:p>
    <w:p w14:paraId="126D7005" w14:textId="77777777" w:rsidR="00A1742E" w:rsidRPr="00A1742E" w:rsidRDefault="00A1742E" w:rsidP="00A1742E">
      <w:r w:rsidRPr="00A1742E">
        <w:rPr>
          <w:b/>
          <w:bCs/>
        </w:rPr>
        <w:t>Enforce Commercial Governance Through Deal Desk.</w:t>
      </w:r>
      <w:r w:rsidRPr="00A1742E">
        <w:br/>
        <w:t xml:space="preserve">Commercial exceptions should be identified before late-stage opportunity progression, and approval decisions should be documented directly in Salesforce. The gap between 150 qualifying historical deals and only 61 with identifiable approval evidence demonstrates the need for </w:t>
      </w:r>
      <w:proofErr w:type="gramStart"/>
      <w:r w:rsidRPr="00A1742E">
        <w:t>a stronger</w:t>
      </w:r>
      <w:proofErr w:type="gramEnd"/>
      <w:r w:rsidRPr="00A1742E">
        <w:t xml:space="preserve"> auditable control.</w:t>
      </w:r>
    </w:p>
    <w:p w14:paraId="1544040C" w14:textId="07ABF137" w:rsidR="00A1742E" w:rsidRPr="00DD55A7" w:rsidRDefault="00A1742E" w:rsidP="00DD55A7">
      <w:r w:rsidRPr="00A1742E">
        <w:rPr>
          <w:b/>
          <w:bCs/>
        </w:rPr>
        <w:t>Establish an Ongoing RevOps Operating Cadence.</w:t>
      </w:r>
      <w:r w:rsidRPr="00A1742E">
        <w:br/>
        <w:t>Pipeline health, routing exceptions, CRM data quality, forecast alignment, and Deal Desk activity should be incorporated into recurring management routines rather than addressed only through periodic cleanup projects.</w:t>
      </w:r>
    </w:p>
    <w:p w14:paraId="288DFDE9" w14:textId="77777777" w:rsidR="00DD55A7" w:rsidRDefault="00DD55A7" w:rsidP="00DD55A7">
      <w:pPr>
        <w:rPr>
          <w:b/>
          <w:bCs/>
        </w:rPr>
      </w:pPr>
      <w:r w:rsidRPr="00DD55A7">
        <w:rPr>
          <w:b/>
          <w:bCs/>
        </w:rPr>
        <w:t>10. Business Impact</w:t>
      </w:r>
    </w:p>
    <w:p w14:paraId="71E87BD2" w14:textId="77777777" w:rsidR="00A1742E" w:rsidRPr="00A1742E" w:rsidRDefault="00A1742E" w:rsidP="00A1742E">
      <w:r w:rsidRPr="00A1742E">
        <w:t>The project demonstrates how Revenue Operations can connect analytical visibility with operational control.</w:t>
      </w:r>
    </w:p>
    <w:p w14:paraId="7EE3259D" w14:textId="77777777" w:rsidR="00A1742E" w:rsidRPr="00A1742E" w:rsidRDefault="00A1742E" w:rsidP="00A1742E">
      <w:r w:rsidRPr="00A1742E">
        <w:t xml:space="preserve">The Power BI dashboard provides leadership with a clearer view of revenue performance and risk. Excel and SQL provide detailed auditability and reconciliation. Salesforce </w:t>
      </w:r>
      <w:proofErr w:type="gramStart"/>
      <w:r w:rsidRPr="00A1742E">
        <w:t>converts</w:t>
      </w:r>
      <w:proofErr w:type="gramEnd"/>
      <w:r w:rsidRPr="00A1742E">
        <w:t xml:space="preserve"> selected governance rules into active system controls. Process maps and SOPs define how teams should operate across Marketing, Sales, RevOps, Finance, and Legal.</w:t>
      </w:r>
    </w:p>
    <w:p w14:paraId="6B2701D3" w14:textId="77777777" w:rsidR="00A1742E" w:rsidRPr="00A1742E" w:rsidRDefault="00A1742E" w:rsidP="00A1742E">
      <w:r w:rsidRPr="00A1742E">
        <w:t>If implemented in a real operating environment, the proposed model would be expected to:</w:t>
      </w:r>
    </w:p>
    <w:p w14:paraId="527DFD5A" w14:textId="77777777" w:rsidR="00A1742E" w:rsidRPr="00A1742E" w:rsidRDefault="00A1742E" w:rsidP="00A1742E">
      <w:pPr>
        <w:numPr>
          <w:ilvl w:val="0"/>
          <w:numId w:val="16"/>
        </w:numPr>
      </w:pPr>
      <w:r w:rsidRPr="00A1742E">
        <w:t>Improve CRM data reliability</w:t>
      </w:r>
    </w:p>
    <w:p w14:paraId="466D4FB8" w14:textId="77777777" w:rsidR="00A1742E" w:rsidRPr="00A1742E" w:rsidRDefault="00A1742E" w:rsidP="00A1742E">
      <w:pPr>
        <w:numPr>
          <w:ilvl w:val="0"/>
          <w:numId w:val="16"/>
        </w:numPr>
      </w:pPr>
      <w:r w:rsidRPr="00A1742E">
        <w:t>Reduce ownership and routing ambiguity</w:t>
      </w:r>
    </w:p>
    <w:p w14:paraId="6A982081" w14:textId="77777777" w:rsidR="00A1742E" w:rsidRPr="00A1742E" w:rsidRDefault="00A1742E" w:rsidP="00A1742E">
      <w:pPr>
        <w:numPr>
          <w:ilvl w:val="0"/>
          <w:numId w:val="16"/>
        </w:numPr>
      </w:pPr>
      <w:r w:rsidRPr="00A1742E">
        <w:lastRenderedPageBreak/>
        <w:t>Increase pipeline hygiene</w:t>
      </w:r>
    </w:p>
    <w:p w14:paraId="6923ECD2" w14:textId="77777777" w:rsidR="00A1742E" w:rsidRPr="00A1742E" w:rsidRDefault="00A1742E" w:rsidP="00A1742E">
      <w:pPr>
        <w:numPr>
          <w:ilvl w:val="0"/>
          <w:numId w:val="16"/>
        </w:numPr>
      </w:pPr>
      <w:r w:rsidRPr="00A1742E">
        <w:t>Improve forecast credibility</w:t>
      </w:r>
    </w:p>
    <w:p w14:paraId="22412D13" w14:textId="77777777" w:rsidR="00A1742E" w:rsidRPr="00A1742E" w:rsidRDefault="00A1742E" w:rsidP="00A1742E">
      <w:pPr>
        <w:numPr>
          <w:ilvl w:val="0"/>
          <w:numId w:val="16"/>
        </w:numPr>
      </w:pPr>
      <w:proofErr w:type="gramStart"/>
      <w:r w:rsidRPr="00A1742E">
        <w:t>Strengthen</w:t>
      </w:r>
      <w:proofErr w:type="gramEnd"/>
      <w:r w:rsidRPr="00A1742E">
        <w:t xml:space="preserve"> Marketing-to-Sales execution</w:t>
      </w:r>
    </w:p>
    <w:p w14:paraId="396B0440" w14:textId="77777777" w:rsidR="00A1742E" w:rsidRPr="00A1742E" w:rsidRDefault="00A1742E" w:rsidP="00A1742E">
      <w:pPr>
        <w:numPr>
          <w:ilvl w:val="0"/>
          <w:numId w:val="16"/>
        </w:numPr>
      </w:pPr>
      <w:r w:rsidRPr="00A1742E">
        <w:t>Increase Deal Desk approval traceability</w:t>
      </w:r>
    </w:p>
    <w:p w14:paraId="598ED6A0" w14:textId="77777777" w:rsidR="00A1742E" w:rsidRPr="00A1742E" w:rsidRDefault="00A1742E" w:rsidP="00A1742E">
      <w:pPr>
        <w:numPr>
          <w:ilvl w:val="0"/>
          <w:numId w:val="16"/>
        </w:numPr>
      </w:pPr>
      <w:r w:rsidRPr="00A1742E">
        <w:t>Reduce the risk of undocumented commercial exceptions</w:t>
      </w:r>
    </w:p>
    <w:p w14:paraId="57CCADFC" w14:textId="77777777" w:rsidR="00A1742E" w:rsidRPr="00A1742E" w:rsidRDefault="00A1742E" w:rsidP="00A1742E">
      <w:pPr>
        <w:numPr>
          <w:ilvl w:val="0"/>
          <w:numId w:val="16"/>
        </w:numPr>
      </w:pPr>
      <w:r w:rsidRPr="00A1742E">
        <w:t>Give leadership a more consistent basis for revenue decision-making</w:t>
      </w:r>
    </w:p>
    <w:p w14:paraId="551F2CA6" w14:textId="38D4D138" w:rsidR="00A1742E" w:rsidRPr="00A1742E" w:rsidRDefault="00A1742E" w:rsidP="00DD55A7">
      <w:r w:rsidRPr="00A1742E">
        <w:t xml:space="preserve">Because AsterPeak and its underlying dataset are synthetic, this project does </w:t>
      </w:r>
      <w:r w:rsidRPr="00A1742E">
        <w:rPr>
          <w:b/>
          <w:bCs/>
        </w:rPr>
        <w:t>not</w:t>
      </w:r>
      <w:r w:rsidRPr="00A1742E">
        <w:t xml:space="preserve"> claim realized financial improvement or production business outcomes. The business impact represents the expected operational value of the proposed controls and processes based on the risks identified in the analysis.</w:t>
      </w:r>
    </w:p>
    <w:p w14:paraId="6A52A012" w14:textId="77777777" w:rsidR="00DD55A7" w:rsidRDefault="00DD55A7" w:rsidP="00DD55A7">
      <w:pPr>
        <w:rPr>
          <w:b/>
          <w:bCs/>
        </w:rPr>
      </w:pPr>
      <w:r w:rsidRPr="00DD55A7">
        <w:rPr>
          <w:b/>
          <w:bCs/>
        </w:rPr>
        <w:t>Tools &amp; Skills Demonstrated</w:t>
      </w:r>
    </w:p>
    <w:p w14:paraId="42C3DC20" w14:textId="77777777" w:rsidR="006878ED" w:rsidRPr="006878ED" w:rsidRDefault="006878ED" w:rsidP="006878ED">
      <w:r w:rsidRPr="006878ED">
        <w:t>This project demonstrates practical experience across both technical analysis and Revenue Operations process design.</w:t>
      </w:r>
    </w:p>
    <w:p w14:paraId="6EE0997B" w14:textId="77777777" w:rsidR="006878ED" w:rsidRPr="006878ED" w:rsidRDefault="006878ED" w:rsidP="006878ED">
      <w:r w:rsidRPr="006878ED">
        <w:rPr>
          <w:b/>
          <w:bCs/>
        </w:rPr>
        <w:t>Technical and analytical skills:</w:t>
      </w:r>
      <w:r w:rsidRPr="006878ED">
        <w:t xml:space="preserve"> SQL, relational joins, CASE logic, data-quality analysis, aggregation, reconciliation, Microsoft Excel, PivotTables, Power BI, DAX measures, KPI development, CRM analysis, funnel analysis, pipeline analysis, forecasting analysis, and exception reporting.</w:t>
      </w:r>
    </w:p>
    <w:p w14:paraId="396CE611" w14:textId="77777777" w:rsidR="006878ED" w:rsidRPr="006878ED" w:rsidRDefault="006878ED" w:rsidP="006878ED">
      <w:r w:rsidRPr="006878ED">
        <w:rPr>
          <w:b/>
          <w:bCs/>
        </w:rPr>
        <w:t>CRM and systems skills:</w:t>
      </w:r>
      <w:r w:rsidRPr="006878ED">
        <w:t xml:space="preserve"> Salesforce configuration, custom fields, formula fields, validation rules, opportunity stages, forecasting categories, reports, dashboards, CRM governance, HubSpot/Salesforce operating-model design, lead routing, and lifecycle management.</w:t>
      </w:r>
    </w:p>
    <w:p w14:paraId="21C2E0AF" w14:textId="77777777" w:rsidR="006878ED" w:rsidRPr="006878ED" w:rsidRDefault="006878ED" w:rsidP="006878ED">
      <w:r w:rsidRPr="006878ED">
        <w:rPr>
          <w:b/>
          <w:bCs/>
        </w:rPr>
        <w:t>Revenue Operations skills:</w:t>
      </w:r>
      <w:r w:rsidRPr="006878ED">
        <w:t xml:space="preserve"> pipeline governance, forecast governance, lead management, Marketing-to-Sales handoff, Deal Desk design, discount approval logic, commercial controls, segmentation, territory alignment, operating-model design, SOP development, process mapping, stakeholder ownership, and executive recommendations.</w:t>
      </w:r>
    </w:p>
    <w:p w14:paraId="66BED67D" w14:textId="6A5CE5E3" w:rsidR="006878ED" w:rsidRPr="006878ED" w:rsidRDefault="006878ED" w:rsidP="00DD55A7">
      <w:r w:rsidRPr="006878ED">
        <w:rPr>
          <w:b/>
          <w:bCs/>
        </w:rPr>
        <w:t>Business communication skills:</w:t>
      </w:r>
      <w:r w:rsidRPr="006878ED">
        <w:t xml:space="preserve"> translating analytical findings into operational recommendations, documenting business processes, designing management reporting, and presenting technical work in business terms.</w:t>
      </w:r>
    </w:p>
    <w:p w14:paraId="7ED3B6DD" w14:textId="77777777" w:rsidR="00DD55A7" w:rsidRDefault="00DD55A7" w:rsidP="00DD55A7">
      <w:pPr>
        <w:rPr>
          <w:b/>
          <w:bCs/>
        </w:rPr>
      </w:pPr>
      <w:r w:rsidRPr="00DD55A7">
        <w:rPr>
          <w:b/>
          <w:bCs/>
        </w:rPr>
        <w:t>Project Limitations &amp; Assumptions</w:t>
      </w:r>
    </w:p>
    <w:p w14:paraId="27937F3D" w14:textId="77777777" w:rsidR="006878ED" w:rsidRPr="006878ED" w:rsidRDefault="006878ED" w:rsidP="006878ED">
      <w:r w:rsidRPr="006878ED">
        <w:lastRenderedPageBreak/>
        <w:t>AsterPeak Software is a fictional company, and all underlying records are synthetic. The project was designed to model realistic RevOps scenarios rather than reproduce the operating environment of a specific company.</w:t>
      </w:r>
    </w:p>
    <w:p w14:paraId="60851B61" w14:textId="77777777" w:rsidR="006878ED" w:rsidRPr="006878ED" w:rsidRDefault="006878ED" w:rsidP="006878ED">
      <w:r w:rsidRPr="006878ED">
        <w:t>The Salesforce implementation was completed in a Trailhead Playground and therefore represents a functional demonstration of governance logic rather than a production deployment.</w:t>
      </w:r>
    </w:p>
    <w:p w14:paraId="6D78385E" w14:textId="77777777" w:rsidR="006878ED" w:rsidRPr="006878ED" w:rsidRDefault="006878ED" w:rsidP="006878ED">
      <w:r w:rsidRPr="006878ED">
        <w:t>HubSpot was incorporated into the operating model and lead-lifecycle design but was not implemented as a connected production environment. Integration behavior, synchronization monitoring, and routing processes are therefore represented conceptually rather than through a live HubSpot-to-Salesforce integration.</w:t>
      </w:r>
    </w:p>
    <w:p w14:paraId="38177013" w14:textId="77777777" w:rsidR="006878ED" w:rsidRPr="006878ED" w:rsidRDefault="006878ED" w:rsidP="006878ED">
      <w:r w:rsidRPr="006878ED">
        <w:t>Historical Deal Desk approval evidence was evaluated using the fields available in the synthetic dataset. A missing approval record does not prove that approval never occurred; it indicates that identifiable approval evidence was not available in the modeled CRM data.</w:t>
      </w:r>
    </w:p>
    <w:p w14:paraId="7633618A" w14:textId="77777777" w:rsidR="006878ED" w:rsidRPr="006878ED" w:rsidRDefault="006878ED" w:rsidP="006878ED">
      <w:r w:rsidRPr="006878ED">
        <w:t>Pipeline-health thresholds, segmentation boundaries, forecast mappings, approval thresholds, and service-level expectations were defined specifically for the AsterPeak operating model. A real organization would adjust these rules based on its sales cycle, customer profile, risk tolerance, organizational structure, and commercial strategy.</w:t>
      </w:r>
    </w:p>
    <w:p w14:paraId="645306A7" w14:textId="6EABA363" w:rsidR="006878ED" w:rsidRPr="006878ED" w:rsidRDefault="006878ED" w:rsidP="00DD55A7">
      <w:r w:rsidRPr="006878ED">
        <w:t xml:space="preserve">The analysis date was fixed </w:t>
      </w:r>
      <w:proofErr w:type="gramStart"/>
      <w:r w:rsidRPr="006878ED">
        <w:t>at</w:t>
      </w:r>
      <w:proofErr w:type="gramEnd"/>
      <w:r w:rsidRPr="006878ED">
        <w:t xml:space="preserve"> </w:t>
      </w:r>
      <w:r w:rsidRPr="006878ED">
        <w:rPr>
          <w:b/>
          <w:bCs/>
        </w:rPr>
        <w:t xml:space="preserve">September 28, </w:t>
      </w:r>
      <w:proofErr w:type="gramStart"/>
      <w:r w:rsidRPr="006878ED">
        <w:rPr>
          <w:b/>
          <w:bCs/>
        </w:rPr>
        <w:t>2026</w:t>
      </w:r>
      <w:proofErr w:type="gramEnd"/>
      <w:r w:rsidRPr="006878ED">
        <w:t xml:space="preserve"> so that stale and overdue opportunity calculations remained reproducible throughout the project.</w:t>
      </w:r>
    </w:p>
    <w:p w14:paraId="3E06944F" w14:textId="77777777" w:rsidR="00DD55A7" w:rsidRPr="00DD55A7" w:rsidRDefault="00DD55A7" w:rsidP="00DD55A7"/>
    <w:sectPr w:rsidR="00DD55A7" w:rsidRPr="00DD55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F07A8"/>
    <w:multiLevelType w:val="multilevel"/>
    <w:tmpl w:val="C954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E3687"/>
    <w:multiLevelType w:val="multilevel"/>
    <w:tmpl w:val="120A5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6B59D0"/>
    <w:multiLevelType w:val="multilevel"/>
    <w:tmpl w:val="8988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8238A"/>
    <w:multiLevelType w:val="hybridMultilevel"/>
    <w:tmpl w:val="A9627F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3A06B01"/>
    <w:multiLevelType w:val="multilevel"/>
    <w:tmpl w:val="836C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7475E"/>
    <w:multiLevelType w:val="multilevel"/>
    <w:tmpl w:val="4852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E2841"/>
    <w:multiLevelType w:val="multilevel"/>
    <w:tmpl w:val="E758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F2510"/>
    <w:multiLevelType w:val="multilevel"/>
    <w:tmpl w:val="4024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1B6BF0"/>
    <w:multiLevelType w:val="multilevel"/>
    <w:tmpl w:val="41CA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45B4C"/>
    <w:multiLevelType w:val="multilevel"/>
    <w:tmpl w:val="83CEF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557C4F"/>
    <w:multiLevelType w:val="multilevel"/>
    <w:tmpl w:val="6E1A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CC08BE"/>
    <w:multiLevelType w:val="multilevel"/>
    <w:tmpl w:val="FEA2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0F7247"/>
    <w:multiLevelType w:val="multilevel"/>
    <w:tmpl w:val="C90C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A6AD3"/>
    <w:multiLevelType w:val="multilevel"/>
    <w:tmpl w:val="D90A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CD3584"/>
    <w:multiLevelType w:val="multilevel"/>
    <w:tmpl w:val="8AAA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470FD5"/>
    <w:multiLevelType w:val="multilevel"/>
    <w:tmpl w:val="3BA2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249358">
    <w:abstractNumId w:val="3"/>
  </w:num>
  <w:num w:numId="2" w16cid:durableId="35550566">
    <w:abstractNumId w:val="0"/>
  </w:num>
  <w:num w:numId="3" w16cid:durableId="1433358892">
    <w:abstractNumId w:val="15"/>
  </w:num>
  <w:num w:numId="4" w16cid:durableId="1605115429">
    <w:abstractNumId w:val="4"/>
  </w:num>
  <w:num w:numId="5" w16cid:durableId="2025354279">
    <w:abstractNumId w:val="8"/>
  </w:num>
  <w:num w:numId="6" w16cid:durableId="1538278899">
    <w:abstractNumId w:val="13"/>
  </w:num>
  <w:num w:numId="7" w16cid:durableId="1329283047">
    <w:abstractNumId w:val="10"/>
  </w:num>
  <w:num w:numId="8" w16cid:durableId="829172635">
    <w:abstractNumId w:val="11"/>
  </w:num>
  <w:num w:numId="9" w16cid:durableId="677587615">
    <w:abstractNumId w:val="6"/>
  </w:num>
  <w:num w:numId="10" w16cid:durableId="1786270827">
    <w:abstractNumId w:val="12"/>
  </w:num>
  <w:num w:numId="11" w16cid:durableId="148139566">
    <w:abstractNumId w:val="9"/>
  </w:num>
  <w:num w:numId="12" w16cid:durableId="1908684035">
    <w:abstractNumId w:val="1"/>
  </w:num>
  <w:num w:numId="13" w16cid:durableId="816413918">
    <w:abstractNumId w:val="14"/>
  </w:num>
  <w:num w:numId="14" w16cid:durableId="1745027802">
    <w:abstractNumId w:val="7"/>
  </w:num>
  <w:num w:numId="15" w16cid:durableId="1124427153">
    <w:abstractNumId w:val="2"/>
  </w:num>
  <w:num w:numId="16" w16cid:durableId="14049839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7F9"/>
    <w:rsid w:val="000C53A7"/>
    <w:rsid w:val="003E5848"/>
    <w:rsid w:val="004142F5"/>
    <w:rsid w:val="004207D2"/>
    <w:rsid w:val="004A07F9"/>
    <w:rsid w:val="006878ED"/>
    <w:rsid w:val="00873484"/>
    <w:rsid w:val="009F5A3B"/>
    <w:rsid w:val="00A1742E"/>
    <w:rsid w:val="00D1420C"/>
    <w:rsid w:val="00DD55A7"/>
    <w:rsid w:val="00DF5640"/>
    <w:rsid w:val="00F30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546B5"/>
  <w15:chartTrackingRefBased/>
  <w15:docId w15:val="{0FC5F4C9-2E8F-42F1-9DA4-554695CD4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7F9"/>
    <w:rPr>
      <w:rFonts w:eastAsiaTheme="majorEastAsia" w:cstheme="majorBidi"/>
      <w:color w:val="272727" w:themeColor="text1" w:themeTint="D8"/>
    </w:rPr>
  </w:style>
  <w:style w:type="paragraph" w:styleId="Title">
    <w:name w:val="Title"/>
    <w:basedOn w:val="Normal"/>
    <w:next w:val="Normal"/>
    <w:link w:val="TitleChar"/>
    <w:uiPriority w:val="10"/>
    <w:qFormat/>
    <w:rsid w:val="004A0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7F9"/>
    <w:pPr>
      <w:spacing w:before="160"/>
      <w:jc w:val="center"/>
    </w:pPr>
    <w:rPr>
      <w:i/>
      <w:iCs/>
      <w:color w:val="404040" w:themeColor="text1" w:themeTint="BF"/>
    </w:rPr>
  </w:style>
  <w:style w:type="character" w:customStyle="1" w:styleId="QuoteChar">
    <w:name w:val="Quote Char"/>
    <w:basedOn w:val="DefaultParagraphFont"/>
    <w:link w:val="Quote"/>
    <w:uiPriority w:val="29"/>
    <w:rsid w:val="004A07F9"/>
    <w:rPr>
      <w:i/>
      <w:iCs/>
      <w:color w:val="404040" w:themeColor="text1" w:themeTint="BF"/>
    </w:rPr>
  </w:style>
  <w:style w:type="paragraph" w:styleId="ListParagraph">
    <w:name w:val="List Paragraph"/>
    <w:basedOn w:val="Normal"/>
    <w:uiPriority w:val="34"/>
    <w:qFormat/>
    <w:rsid w:val="004A07F9"/>
    <w:pPr>
      <w:ind w:left="720"/>
      <w:contextualSpacing/>
    </w:pPr>
  </w:style>
  <w:style w:type="character" w:styleId="IntenseEmphasis">
    <w:name w:val="Intense Emphasis"/>
    <w:basedOn w:val="DefaultParagraphFont"/>
    <w:uiPriority w:val="21"/>
    <w:qFormat/>
    <w:rsid w:val="004A07F9"/>
    <w:rPr>
      <w:i/>
      <w:iCs/>
      <w:color w:val="0F4761" w:themeColor="accent1" w:themeShade="BF"/>
    </w:rPr>
  </w:style>
  <w:style w:type="paragraph" w:styleId="IntenseQuote">
    <w:name w:val="Intense Quote"/>
    <w:basedOn w:val="Normal"/>
    <w:next w:val="Normal"/>
    <w:link w:val="IntenseQuoteChar"/>
    <w:uiPriority w:val="30"/>
    <w:qFormat/>
    <w:rsid w:val="004A0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7F9"/>
    <w:rPr>
      <w:i/>
      <w:iCs/>
      <w:color w:val="0F4761" w:themeColor="accent1" w:themeShade="BF"/>
    </w:rPr>
  </w:style>
  <w:style w:type="character" w:styleId="IntenseReference">
    <w:name w:val="Intense Reference"/>
    <w:basedOn w:val="DefaultParagraphFont"/>
    <w:uiPriority w:val="32"/>
    <w:qFormat/>
    <w:rsid w:val="004A07F9"/>
    <w:rPr>
      <w:b/>
      <w:bCs/>
      <w:smallCaps/>
      <w:color w:val="0F4761" w:themeColor="accent1" w:themeShade="BF"/>
      <w:spacing w:val="5"/>
    </w:rPr>
  </w:style>
  <w:style w:type="paragraph" w:styleId="NormalWeb">
    <w:name w:val="Normal (Web)"/>
    <w:basedOn w:val="Normal"/>
    <w:uiPriority w:val="99"/>
    <w:unhideWhenUsed/>
    <w:rsid w:val="00DD55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D55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13</Pages>
  <Words>3140</Words>
  <Characters>17899</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Medders</dc:creator>
  <cp:keywords/>
  <dc:description/>
  <cp:lastModifiedBy>Tyler Medders</cp:lastModifiedBy>
  <cp:revision>6</cp:revision>
  <dcterms:created xsi:type="dcterms:W3CDTF">2026-10-07T17:25:00Z</dcterms:created>
  <dcterms:modified xsi:type="dcterms:W3CDTF">2026-10-07T22:40:00Z</dcterms:modified>
</cp:coreProperties>
</file>