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25 WOODGREEN LLC</w:t>
      </w:r>
    </w:p>
    <w:p>
      <w:pPr>
        <w:spacing w:after="240"/>
        <w:jc w:val="center"/>
      </w:pPr>
      <w:r>
        <w:rPr>
          <w:b/>
          <w:bCs/>
          <w:sz w:val="28"/>
          <w:szCs w:val="28"/>
        </w:rPr>
        <w:t xml:space="preserve">COWORKING LICENSE AGREEMENT</w:t>
      </w:r>
    </w:p>
    <w:p>
      <w:pPr>
        <w:spacing w:after="360"/>
        <w:jc w:val="center"/>
      </w:pPr>
      <w:r>
        <w:rPr>
          <w:i/>
          <w:iCs/>
          <w:sz w:val="22"/>
          <w:szCs w:val="22"/>
        </w:rPr>
        <w:t xml:space="preserve">25 Woodgreen Place, Madison, Mississippi 39110</w:t>
      </w:r>
    </w:p>
    <w:p>
      <w:pPr>
        <w:spacing w:after="120" w:line="276"/>
      </w:pPr>
      <w:r>
        <w:t xml:space="preserve">This Coworking License Agreement (the "Agreement") is made effective as of the Commencement Date set forth on Schedule A (the "Effective Date") by and between:</w:t>
      </w:r>
    </w:p>
    <w:p>
      <w:pPr>
        <w:spacing w:after="120" w:line="276"/>
      </w:pPr>
      <w:r>
        <w:rPr>
          <w:b/>
          <w:bCs/>
        </w:rPr>
        <w:t xml:space="preserve">Licensor: </w:t>
      </w:r>
      <w:r>
        <w:t xml:space="preserve">25 Woodgreen LLC, a Mississippi limited liability company, with its principal place of business at 25 Woodgreen Place, Madison, Mississippi 39110 ("Licensor"); and</w:t>
      </w:r>
    </w:p>
    <w:p>
      <w:pPr>
        <w:spacing w:after="120" w:line="276"/>
      </w:pPr>
      <w:r>
        <w:rPr>
          <w:b/>
          <w:bCs/>
        </w:rPr>
        <w:t xml:space="preserve">Licensee: </w:t>
      </w:r>
      <w:r>
        <w:t xml:space="preserve">the individual or entity identified on Schedule A ("Licensee").</w:t>
      </w:r>
    </w:p>
    <w:p>
      <w:pPr>
        <w:spacing w:after="120" w:line="276"/>
      </w:pPr>
      <w:r>
        <w:t xml:space="preserve">Licensor and Licensee may be referred to herein individually as a "Party" and collectively as the "Parties."</w:t>
      </w:r>
    </w:p>
    <w:p>
      <w:pPr>
        <w:pStyle w:val="Heading2"/>
        <w:spacing w:after="140" w:before="280"/>
      </w:pPr>
      <w:r>
        <w:rPr>
          <w:b/>
          <w:bCs/>
        </w:rPr>
        <w:t xml:space="preserve">RECITALS. </w:t>
      </w:r>
    </w:p>
    <w:p>
      <w:pPr>
        <w:spacing w:after="120" w:line="276"/>
      </w:pPr>
      <w:r>
        <w:t xml:space="preserve">WHEREAS, Licensor owns and operates a shared workspace facility located at 25 Woodgreen Place, Madison, Mississippi 39110 (the "Building");</w:t>
      </w:r>
    </w:p>
    <w:p>
      <w:pPr>
        <w:spacing w:after="120" w:line="276"/>
      </w:pPr>
      <w:r>
        <w:t xml:space="preserve">WHEREAS, Licensee desires to obtain a revocable license to use designated office space and shared amenities within the Building on the terms set forth herein; and</w:t>
      </w:r>
    </w:p>
    <w:p>
      <w:pPr>
        <w:spacing w:after="120" w:line="276"/>
      </w:pPr>
      <w:r>
        <w:t xml:space="preserve">WHEREAS, the Parties intend that this Agreement create a license — and not a lease, tenancy, easement, or any other interest in real property — and that no landlord-tenant relationship of any kind shall arise between them.</w:t>
      </w:r>
    </w:p>
    <w:p>
      <w:pPr>
        <w:spacing w:after="120" w:line="276"/>
      </w:pPr>
      <w:r>
        <w:t xml:space="preserve">NOW, THEREFORE, in consideration of the mutual covenants and obligations herein, the Parties agree as follows:</w:t>
      </w:r>
    </w:p>
    <w:p>
      <w:pPr>
        <w:pStyle w:val="Heading2"/>
        <w:spacing w:after="140" w:before="280"/>
      </w:pPr>
      <w:r>
        <w:rPr>
          <w:b/>
          <w:bCs/>
        </w:rPr>
        <w:t xml:space="preserve">1. Grant of License; Nature of Relationship</w:t>
      </w:r>
    </w:p>
    <w:p>
      <w:pPr>
        <w:spacing w:after="120" w:line="276"/>
      </w:pPr>
      <w:r>
        <w:t xml:space="preserve">1.1  License Grant. Subject to the terms of this Agreement, Licensor grants to Licensee a revocable, non-exclusive, non-transferable license to use the office space, and any bundled adjacent open-area space, identified on Schedule A (collectively, the "Licensed Premises"), together with non-exclusive use of designated common areas, restrooms, kitchen, and shared amenities of the Building (the "Shared Facilities").</w:t>
      </w:r>
    </w:p>
    <w:p>
      <w:pPr>
        <w:spacing w:after="120" w:line="276"/>
      </w:pPr>
      <w:r>
        <w:t xml:space="preserve">1.2  No Lease; No Tenancy. The Parties expressly acknowledge that (a) this Agreement creates a license to use the Licensed Premises and Shared Facilities, (b) Licensee receives no estate, easement, possessory interest, or other interest in real property, (c) no landlord-tenant relationship is created, and (d) the protections, procedures, and remedies of Mississippi landlord-tenant law (including without limitation Miss. Code Ann. § 89-7-1 et seq.) shall not apply to this Agreement. Licensor at all times retains legal possession and control of the Building and the Licensed Premises.</w:t>
      </w:r>
    </w:p>
    <w:p>
      <w:pPr>
        <w:spacing w:after="120" w:line="276"/>
      </w:pPr>
      <w:r>
        <w:t xml:space="preserve">1.3  Bundled Configurations. Where Schedule A identifies a bundle of two or more offices and/or adjacent open-area space, the Licensed Premises shall include all such offices and open-area space as a single combined license. Licensee may not sublicense, share, or assign any portion of a bundle to a third party.</w:t>
      </w:r>
    </w:p>
    <w:p>
      <w:pPr>
        <w:pStyle w:val="Heading2"/>
        <w:spacing w:after="140" w:before="280"/>
      </w:pPr>
      <w:r>
        <w:rPr>
          <w:b/>
          <w:bCs/>
        </w:rPr>
        <w:t xml:space="preserve">2. Term</w:t>
      </w:r>
    </w:p>
    <w:p>
      <w:pPr>
        <w:spacing w:after="120" w:line="276"/>
      </w:pPr>
      <w:r>
        <w:t xml:space="preserve">2.1  Initial Term. The initial term of this Agreement shall be twelve (12), eighteen (18), or twenty-four (24) months as elected by Licensee on Schedule A (the "Initial Term"), commencing on the Commencement Date and ending at 11:59 p.m. Central Time on the last day of the Initial Term.</w:t>
      </w:r>
    </w:p>
    <w:p>
      <w:pPr>
        <w:spacing w:after="120" w:line="276"/>
      </w:pPr>
      <w:r>
        <w:t xml:space="preserve">2.2  Holdover. If Licensee continues to use the Licensed Premises after expiration of the Initial Term without entering into a new written agreement, such use shall be on a month-to-month basis at one hundred twenty-five percent (125%) of the then-current monthly License Fee, terminable by either Party upon thirty (30) days' written notice.</w:t>
      </w:r>
    </w:p>
    <w:p>
      <w:pPr>
        <w:pStyle w:val="Heading2"/>
        <w:spacing w:after="140" w:before="280"/>
      </w:pPr>
      <w:r>
        <w:rPr>
          <w:b/>
          <w:bCs/>
        </w:rPr>
        <w:t xml:space="preserve">3. License Fees and Payments</w:t>
      </w:r>
    </w:p>
    <w:p>
      <w:pPr>
        <w:spacing w:after="120" w:line="276"/>
      </w:pPr>
      <w:r>
        <w:t xml:space="preserve">3.1  License Fee. Licensee shall pay Licensor the monthly license fee (the "License Fee") set forth on Schedule A and on the then-current published Fee Schedule maintained by Licensor (the "Fee Schedule"). Licensor reserves the right to update the Fee Schedule from time to time; provided that no increase shall apply to Licensee during the Initial Term except as expressly stated on Schedule A.</w:t>
      </w:r>
    </w:p>
    <w:p>
      <w:pPr>
        <w:spacing w:after="120" w:line="276"/>
      </w:pPr>
      <w:r>
        <w:t xml:space="preserve">3.2  Payment Method. The License Fee, together with any conference room overage charges, furniture package fees, and other charges, shall be charged in advance on the first day of each calendar month via the payment method on file in Licensor's member platform.</w:t>
      </w:r>
    </w:p>
    <w:p>
      <w:pPr>
        <w:spacing w:after="120" w:line="276"/>
      </w:pPr>
      <w:r>
        <w:t xml:space="preserve">3.3  Security Deposit. Upon execution of this Agreement, Licensee shall deliver a security deposit equal to one (1) month's License Fee (the "Security Deposit"), which Licensor shall hold without obligation to pay interest and may apply against any unpaid amounts or damage to the Licensed Premises.</w:t>
      </w:r>
    </w:p>
    <w:p>
      <w:pPr>
        <w:spacing w:after="120" w:line="276"/>
      </w:pPr>
      <w:r>
        <w:t xml:space="preserve">3.4  Late Charges; Returned Payments. Any amount not paid within five (5) days of its due date shall accrue a late charge equal to five percent (5%) of the unpaid amount. Returned or failed payments shall incur a $35.00 fee plus any third-party processor charges.</w:t>
      </w:r>
    </w:p>
    <w:p>
      <w:pPr>
        <w:spacing w:after="120" w:line="276"/>
      </w:pPr>
      <w:r>
        <w:t xml:space="preserve">3.5  Taxes. Licensee shall be responsible for any sales, use, or other taxes assessed on the License Fee or services rendered hereunder.</w:t>
      </w:r>
    </w:p>
    <w:p>
      <w:pPr>
        <w:pStyle w:val="Heading2"/>
        <w:spacing w:after="140" w:before="280"/>
      </w:pPr>
      <w:r>
        <w:rPr>
          <w:b/>
          <w:bCs/>
        </w:rPr>
        <w:t xml:space="preserve">4. Licensed Premises; Included Services</w:t>
      </w:r>
    </w:p>
    <w:p>
      <w:pPr>
        <w:spacing w:after="120" w:line="276"/>
      </w:pPr>
      <w:r>
        <w:t xml:space="preserve">4.1  24/7 Keycard Access. Licensee shall be issued keycard or smart-lock credentials providing twenty-four (24) hour, seven (7) day per week access to the Licensed Premises and Shared Facilities, subject to suspension upon non-payment or breach.</w:t>
      </w:r>
    </w:p>
    <w:p>
      <w:pPr>
        <w:spacing w:after="120" w:line="276"/>
      </w:pPr>
      <w:r>
        <w:t xml:space="preserve">4.2  Included Services. The License Fee includes:</w:t>
      </w:r>
    </w:p>
    <w:p>
      <w:pPr>
        <w:pStyle w:val="ListParagraph"/>
        <w:numPr>
          <w:ilvl w:val="0"/>
          <w:numId w:val="2"/>
        </w:numPr>
        <w:spacing w:after="80"/>
      </w:pPr>
      <w:r>
        <w:t xml:space="preserve">Wi-Fi internet access at the Building's published speeds.</w:t>
      </w:r>
    </w:p>
    <w:p>
      <w:pPr>
        <w:pStyle w:val="ListParagraph"/>
        <w:numPr>
          <w:ilvl w:val="0"/>
          <w:numId w:val="2"/>
        </w:numPr>
        <w:spacing w:after="80"/>
      </w:pPr>
      <w:r>
        <w:t xml:space="preserve">HVAC, electricity, and water service to the Licensed Premises.</w:t>
      </w:r>
    </w:p>
    <w:p>
      <w:pPr>
        <w:pStyle w:val="ListParagraph"/>
        <w:numPr>
          <w:ilvl w:val="0"/>
          <w:numId w:val="2"/>
        </w:numPr>
        <w:spacing w:after="80"/>
      </w:pPr>
      <w:r>
        <w:t xml:space="preserve">Janitorial service of the Shared Facilities.</w:t>
      </w:r>
    </w:p>
    <w:p>
      <w:pPr>
        <w:pStyle w:val="ListParagraph"/>
        <w:numPr>
          <w:ilvl w:val="0"/>
          <w:numId w:val="2"/>
        </w:numPr>
        <w:spacing w:after="80"/>
      </w:pPr>
      <w:r>
        <w:t xml:space="preserve">Common-area coffee, water, and basic kitchen amenities.</w:t>
      </w:r>
    </w:p>
    <w:p>
      <w:pPr>
        <w:pStyle w:val="ListParagraph"/>
        <w:numPr>
          <w:ilvl w:val="0"/>
          <w:numId w:val="2"/>
        </w:numPr>
        <w:spacing w:after="80"/>
      </w:pPr>
      <w:r>
        <w:t xml:space="preserve">Mail and package receipt at the Building reception.</w:t>
      </w:r>
    </w:p>
    <w:p>
      <w:pPr>
        <w:pStyle w:val="ListParagraph"/>
        <w:numPr>
          <w:ilvl w:val="0"/>
          <w:numId w:val="2"/>
        </w:numPr>
        <w:spacing w:after="80"/>
      </w:pPr>
      <w:r>
        <w:t xml:space="preserve">Included conference room hours per Section 5.</w:t>
      </w:r>
    </w:p>
    <w:p>
      <w:pPr>
        <w:spacing w:after="120" w:line="276"/>
      </w:pPr>
      <w:r>
        <w:t xml:space="preserve">4.3  Excluded Services. Telephone service, off-site printing, dedicated bandwidth, IT support, private storage, and any service not expressly listed above are not included and, if available, will be charged per the Fee Schedule.</w:t>
      </w:r>
    </w:p>
    <w:p>
      <w:pPr>
        <w:pStyle w:val="Heading2"/>
        <w:spacing w:after="140" w:before="280"/>
      </w:pPr>
      <w:r>
        <w:rPr>
          <w:b/>
          <w:bCs/>
        </w:rPr>
        <w:t xml:space="preserve">5. Conference Room Use</w:t>
      </w:r>
    </w:p>
    <w:p>
      <w:pPr>
        <w:spacing w:after="120" w:line="276"/>
      </w:pPr>
      <w:r>
        <w:t xml:space="preserve">5.1  Member Allotment. Each Licensee holding a private office license is entitled to the number of included conference room hours per month set forth on the Fee Schedule. Included hours do not roll over and have no cash value.</w:t>
      </w:r>
    </w:p>
    <w:p>
      <w:pPr>
        <w:spacing w:after="120" w:line="276"/>
      </w:pPr>
      <w:r>
        <w:t xml:space="preserve">5.2  Member Overage. Conference room use beyond the included allotment shall be billed at the member overage rate published on the Fee Schedule.</w:t>
      </w:r>
    </w:p>
    <w:p>
      <w:pPr>
        <w:spacing w:after="120" w:line="276"/>
      </w:pPr>
      <w:r>
        <w:t xml:space="preserve">5.3  Non-Member Rate. Conference room reservations by persons or entities that are not current Licensees of the Building shall be billed at the non-member hourly rate published on the Fee Schedule, which shall be materially higher than the member overage rate.</w:t>
      </w:r>
    </w:p>
    <w:p>
      <w:pPr>
        <w:spacing w:after="120" w:line="276"/>
      </w:pPr>
      <w:r>
        <w:t xml:space="preserve">5.4  Booking. All conference room reservations shall be made through Licensor's member platform and are subject to availability and the cancellation rules posted therein.</w:t>
      </w:r>
    </w:p>
    <w:p>
      <w:pPr>
        <w:pStyle w:val="Heading2"/>
        <w:spacing w:after="140" w:before="280"/>
      </w:pPr>
      <w:r>
        <w:rPr>
          <w:b/>
          <w:bCs/>
        </w:rPr>
        <w:t xml:space="preserve">6. Furnishings</w:t>
      </w:r>
    </w:p>
    <w:p>
      <w:pPr>
        <w:spacing w:after="120" w:line="276"/>
      </w:pPr>
      <w:r>
        <w:t xml:space="preserve">6.1  Default Unfurnished. Unless otherwise elected on Schedule A, the Licensed Premises are provided unfurnished. Licensee is responsible for furnishing the Licensed Premises with desks, chairs, and other personal property at Licensee's expense.</w:t>
      </w:r>
    </w:p>
    <w:p>
      <w:pPr>
        <w:spacing w:after="120" w:line="276"/>
      </w:pPr>
      <w:r>
        <w:t xml:space="preserve">6.2  Optional Furniture Package. Licensee may elect on Schedule A an optional furniture package from the options described on Schedule D. If elected, Licensor will procure and install the selected furniture, and Licensee's monthly License Fee will be increased by the furniture package fee shown on the Fee Schedule for the duration of the Initial Term. Furniture remains the property of Licensor unless otherwise stated on Schedule D.</w:t>
      </w:r>
    </w:p>
    <w:p>
      <w:pPr>
        <w:pStyle w:val="Heading2"/>
        <w:spacing w:after="140" w:before="280"/>
      </w:pPr>
      <w:r>
        <w:rPr>
          <w:b/>
          <w:bCs/>
        </w:rPr>
        <w:t xml:space="preserve">7. Permitted Use; Restrictions</w:t>
      </w:r>
    </w:p>
    <w:p>
      <w:pPr>
        <w:spacing w:after="120" w:line="276"/>
      </w:pPr>
      <w:r>
        <w:t xml:space="preserve">7.1  Permitted Use. The Licensed Premises shall be used solely for general office and professional business purposes consistent with a Class A shared workspace.</w:t>
      </w:r>
    </w:p>
    <w:p>
      <w:pPr>
        <w:spacing w:after="120" w:line="276"/>
      </w:pPr>
      <w:r>
        <w:t xml:space="preserve">7.2  Prohibited Uses. Licensee shall not:</w:t>
      </w:r>
    </w:p>
    <w:p>
      <w:pPr>
        <w:pStyle w:val="ListParagraph"/>
        <w:numPr>
          <w:ilvl w:val="0"/>
          <w:numId w:val="2"/>
        </w:numPr>
        <w:spacing w:after="80"/>
      </w:pPr>
      <w:r>
        <w:t xml:space="preserve">Use the Licensed Premises for residential purposes, sleeping, or overnight stays.</w:t>
      </w:r>
    </w:p>
    <w:p>
      <w:pPr>
        <w:pStyle w:val="ListParagraph"/>
        <w:numPr>
          <w:ilvl w:val="0"/>
          <w:numId w:val="2"/>
        </w:numPr>
        <w:spacing w:after="80"/>
      </w:pPr>
      <w:r>
        <w:t xml:space="preserve">Operate any retail establishment, manufacturing, warehousing, or activity involving the regular receipt of walk-in customers without Licensor's prior written consent.</w:t>
      </w:r>
    </w:p>
    <w:p>
      <w:pPr>
        <w:pStyle w:val="ListParagraph"/>
        <w:numPr>
          <w:ilvl w:val="0"/>
          <w:numId w:val="2"/>
        </w:numPr>
        <w:spacing w:after="80"/>
      </w:pPr>
      <w:r>
        <w:t xml:space="preserve">Store, handle, or transport hazardous materials, firearms, or controlled substances on the Building premises.</w:t>
      </w:r>
    </w:p>
    <w:p>
      <w:pPr>
        <w:pStyle w:val="ListParagraph"/>
        <w:numPr>
          <w:ilvl w:val="0"/>
          <w:numId w:val="2"/>
        </w:numPr>
        <w:spacing w:after="80"/>
      </w:pPr>
      <w:r>
        <w:t xml:space="preserve">Conduct any unlawful activity or any activity that violates applicable insurance policies or the Building's certificate of occupancy.</w:t>
      </w:r>
    </w:p>
    <w:p>
      <w:pPr>
        <w:pStyle w:val="ListParagraph"/>
        <w:numPr>
          <w:ilvl w:val="0"/>
          <w:numId w:val="2"/>
        </w:numPr>
        <w:spacing w:after="80"/>
      </w:pPr>
      <w:r>
        <w:t xml:space="preserve">Create noise, odor, or disturbance that materially interferes with the quiet use of the Building by Licensor's other Licensees or invitees.</w:t>
      </w:r>
    </w:p>
    <w:p>
      <w:pPr>
        <w:spacing w:after="120" w:line="276"/>
      </w:pPr>
      <w:r>
        <w:t xml:space="preserve">7.3  House Rules. Licensee shall comply with the house rules attached as Schedule B (the "House Rules"), as Licensor may amend from time to time upon reasonable notice.</w:t>
      </w:r>
    </w:p>
    <w:p>
      <w:pPr>
        <w:pStyle w:val="Heading2"/>
        <w:spacing w:after="140" w:before="280"/>
      </w:pPr>
      <w:r>
        <w:rPr>
          <w:b/>
          <w:bCs/>
        </w:rPr>
        <w:t xml:space="preserve">8. Insurance</w:t>
      </w:r>
    </w:p>
    <w:p>
      <w:pPr>
        <w:spacing w:after="120" w:line="276"/>
      </w:pPr>
      <w:r>
        <w:t xml:space="preserve">8.1  Licensee Coverage. Throughout the term, Licensee shall maintain (a) commercial general liability insurance with limits of not less than $1,000,000 per occurrence and $2,000,000 aggregate, (b) personal property and business interruption coverage on Licensee's contents at full replacement value, and (c) where Licensee has employees, workers' compensation as required by Mississippi law.</w:t>
      </w:r>
    </w:p>
    <w:p>
      <w:pPr>
        <w:spacing w:after="120" w:line="276"/>
      </w:pPr>
      <w:r>
        <w:t xml:space="preserve">8.2  Additional Insured. Licensee shall name "25 Woodgreen LLC" as an additional insured on the general liability policy and shall furnish a certificate of insurance upon request.</w:t>
      </w:r>
    </w:p>
    <w:p>
      <w:pPr>
        <w:spacing w:after="120" w:line="276"/>
      </w:pPr>
      <w:r>
        <w:t xml:space="preserve">8.3  Licensee Property at Licensee's Risk. All property of Licensee in the Building is at Licensee's sole risk. Licensor is not responsible for loss, theft, or damage to Licensee's property from any cause.</w:t>
      </w:r>
    </w:p>
    <w:p>
      <w:pPr>
        <w:pStyle w:val="Heading2"/>
        <w:spacing w:after="140" w:before="280"/>
      </w:pPr>
      <w:r>
        <w:rPr>
          <w:b/>
          <w:bCs/>
        </w:rPr>
        <w:t xml:space="preserve">9. Indemnification</w:t>
      </w:r>
    </w:p>
    <w:p>
      <w:pPr>
        <w:spacing w:after="120" w:line="276"/>
      </w:pPr>
      <w:r>
        <w:t xml:space="preserve">9.1  By Licensee. Licensee shall defend, indemnify, and hold harmless Licensor, its members, managers, officers, employees, and agents from any claim, loss, liability, or expense (including reasonable attorneys' fees) arising out of or relating to (a) Licensee's use of the Building, (b) the acts or omissions of Licensee or its employees, invitees, guests, or contractors, or (c) any breach of this Agreement by Licensee.</w:t>
      </w:r>
    </w:p>
    <w:p>
      <w:pPr>
        <w:spacing w:after="120" w:line="276"/>
      </w:pPr>
      <w:r>
        <w:t xml:space="preserve">9.2  Mutual Limitation. Neither Party shall be liable to the other for any indirect, consequential, special, or punitive damages, including lost profits, even if advised of the possibility thereof. Licensor's aggregate liability under this Agreement shall not exceed the License Fees paid by Licensee during the three (3) months preceding the claim.</w:t>
      </w:r>
    </w:p>
    <w:p>
      <w:pPr>
        <w:pStyle w:val="Heading2"/>
        <w:spacing w:after="140" w:before="280"/>
      </w:pPr>
      <w:r>
        <w:rPr>
          <w:b/>
          <w:bCs/>
        </w:rPr>
        <w:t xml:space="preserve">10. Personal Guaranty (Entity Licensees)</w:t>
      </w:r>
    </w:p>
    <w:p>
      <w:pPr>
        <w:spacing w:after="120" w:line="276"/>
      </w:pPr>
      <w:r>
        <w:t xml:space="preserve">If Licensee is a corporation, limited liability company, partnership, or other business entity, this Agreement is conditioned upon the execution of the Personal Guaranty attached as Schedule C by a principal of the entity, who shall be jointly and severally liable with Licensee for all monetary obligations under this Agreement.</w:t>
      </w:r>
    </w:p>
    <w:p>
      <w:pPr>
        <w:pStyle w:val="Heading2"/>
        <w:spacing w:after="140" w:before="280"/>
      </w:pPr>
      <w:r>
        <w:rPr>
          <w:b/>
          <w:bCs/>
        </w:rPr>
        <w:t xml:space="preserve">11. Maintenance; Alterations</w:t>
      </w:r>
    </w:p>
    <w:p>
      <w:pPr>
        <w:spacing w:after="120" w:line="276"/>
      </w:pPr>
      <w:r>
        <w:t xml:space="preserve">11.1  Licensor Maintenance. Licensor shall maintain the structural elements of the Building, the Building systems (HVAC, electrical, plumbing), and the Shared Facilities in good operating condition consistent with comparable Class A facilities.</w:t>
      </w:r>
    </w:p>
    <w:p>
      <w:pPr>
        <w:spacing w:after="120" w:line="276"/>
      </w:pPr>
      <w:r>
        <w:t xml:space="preserve">11.2  Licensee Care. Licensee shall keep the Licensed Premises clean, free of damage beyond ordinary wear, and shall promptly notify Licensor of any maintenance issue.</w:t>
      </w:r>
    </w:p>
    <w:p>
      <w:pPr>
        <w:spacing w:after="120" w:line="276"/>
      </w:pPr>
      <w:r>
        <w:t xml:space="preserve">11.3  No Alterations. Licensee shall not paint, drill, affix, install, or modify any part of the Licensed Premises or Building without Licensor's prior written consent. Any unauthorized alteration may be removed at Licensee's expense.</w:t>
      </w:r>
    </w:p>
    <w:p>
      <w:pPr>
        <w:pStyle w:val="Heading2"/>
        <w:spacing w:after="140" w:before="280"/>
      </w:pPr>
      <w:r>
        <w:rPr>
          <w:b/>
          <w:bCs/>
        </w:rPr>
        <w:t xml:space="preserve">12. Default; Remedies</w:t>
      </w:r>
    </w:p>
    <w:p>
      <w:pPr>
        <w:spacing w:after="120" w:line="276"/>
      </w:pPr>
      <w:r>
        <w:t xml:space="preserve">12.1  Events of Default. Each of the following constitutes a default by Licensee (a "Default"): (a) failure to pay any amount within five (5) days after written notice; (b) breach of any non-monetary obligation not cured within ten (10) days after written notice; (c) any act or omission that creates an imminent risk of harm to persons or property; or (d) the bankruptcy, insolvency, dissolution, or assignment for the benefit of creditors of Licensee.</w:t>
      </w:r>
    </w:p>
    <w:p>
      <w:pPr>
        <w:spacing w:after="120" w:line="276"/>
      </w:pPr>
      <w:r>
        <w:t xml:space="preserve">12.2  Licensor Remedies. Upon a Default, Licensor may, in addition to all other rights at law and in equity: (i) suspend Licensee's access credentials and bar entry to the Building; (ii) remove Licensee's personal property to storage at Licensee's expense; (iii) terminate this Agreement; and (iv) recover all amounts due, including the liquidated damages in Section 13. Because this Agreement is a license and not a lease, no judicial unlawful detainer or eviction proceeding shall be required to terminate Licensee's access.</w:t>
      </w:r>
    </w:p>
    <w:p>
      <w:pPr>
        <w:spacing w:after="120" w:line="276"/>
      </w:pPr>
      <w:r>
        <w:t xml:space="preserve">12.3  Cumulative Remedies. All remedies are cumulative and not exclusive.</w:t>
      </w:r>
    </w:p>
    <w:p>
      <w:pPr>
        <w:pStyle w:val="Heading2"/>
        <w:spacing w:after="140" w:before="280"/>
      </w:pPr>
      <w:r>
        <w:rPr>
          <w:b/>
          <w:bCs/>
        </w:rPr>
        <w:t xml:space="preserve">13. Early Termination by Licensee; Liquidated Damages</w:t>
      </w:r>
    </w:p>
    <w:p>
      <w:pPr>
        <w:spacing w:after="120" w:line="276"/>
      </w:pPr>
      <w:r>
        <w:t xml:space="preserve">Licensee acknowledges that Licensor has relied on Licensee's commitment to the full Initial Term in setting the License Fee and in declining other prospective Licensees. If Licensee terminates this Agreement before the end of the Initial Term for any reason other than Licensor's uncured material breach, Licensee shall immediately pay to Licensor, as liquidated damages and not as a penalty, an amount equal to the sum of all License Fees that would have been due for the remainder of the Initial Term, plus any abated, deferred, or discounted amounts previously granted. The Parties agree that actual damages from early termination are difficult to calculate and that this amount represents a reasonable estimate thereof.</w:t>
      </w:r>
    </w:p>
    <w:p>
      <w:pPr>
        <w:pStyle w:val="Heading2"/>
        <w:spacing w:after="140" w:before="280"/>
      </w:pPr>
      <w:r>
        <w:rPr>
          <w:b/>
          <w:bCs/>
        </w:rPr>
        <w:t xml:space="preserve">14. Termination by Licensor</w:t>
      </w:r>
    </w:p>
    <w:p>
      <w:pPr>
        <w:spacing w:after="120" w:line="276"/>
      </w:pPr>
      <w:r>
        <w:t xml:space="preserve">14.1  For Cause. Licensor may terminate this Agreement immediately upon a Default that is not cured within the applicable cure period, or immediately and without cure period for a Default under Section 12.1(c) or 12.1(d).</w:t>
      </w:r>
    </w:p>
    <w:p>
      <w:pPr>
        <w:spacing w:after="120" w:line="276"/>
      </w:pPr>
      <w:r>
        <w:t xml:space="preserve">14.2  Without Cause. Licensor may terminate this Agreement without cause upon sixty (60) days' written notice to Licensee, in which case Licensor shall refund any prepaid License Fees applicable to periods after the termination date and shall return the Security Deposit (less any lawful deductions).</w:t>
      </w:r>
    </w:p>
    <w:p>
      <w:pPr>
        <w:pStyle w:val="Heading2"/>
        <w:spacing w:after="140" w:before="280"/>
      </w:pPr>
      <w:r>
        <w:rPr>
          <w:b/>
          <w:bCs/>
        </w:rPr>
        <w:t xml:space="preserve">15. Licensor Relocation Right</w:t>
      </w:r>
    </w:p>
    <w:p>
      <w:pPr>
        <w:spacing w:after="120" w:line="276"/>
      </w:pPr>
      <w:r>
        <w:t xml:space="preserve">Licensor reserves the right, upon not less than thirty (30) days' prior written notice, to relocate Licensee to comparable space within the Building of substantially equivalent square footage and quality, at Licensor's expense for moving Licensee's personal property. The License Fee shall not increase as a result of such relocation during the Initial Term.</w:t>
      </w:r>
    </w:p>
    <w:p>
      <w:pPr>
        <w:pStyle w:val="Heading2"/>
        <w:spacing w:after="140" w:before="280"/>
      </w:pPr>
      <w:r>
        <w:rPr>
          <w:b/>
          <w:bCs/>
        </w:rPr>
        <w:t xml:space="preserve">16. No Assignment; No Sublicensing</w:t>
      </w:r>
    </w:p>
    <w:p>
      <w:pPr>
        <w:spacing w:after="120" w:line="276"/>
      </w:pPr>
      <w:r>
        <w:t xml:space="preserve">Licensee shall not assign, transfer, sublicense, or share any rights under this Agreement, in whole or in part, without Licensor's prior written consent, which may be withheld in Licensor's sole discretion. Any attempted assignment or sublicense in violation of this Section is void.</w:t>
      </w:r>
    </w:p>
    <w:p>
      <w:pPr>
        <w:pStyle w:val="Heading2"/>
        <w:spacing w:after="140" w:before="280"/>
      </w:pPr>
      <w:r>
        <w:rPr>
          <w:b/>
          <w:bCs/>
        </w:rPr>
        <w:t xml:space="preserve">17. Force Majeure</w:t>
      </w:r>
    </w:p>
    <w:p>
      <w:pPr>
        <w:spacing w:after="120" w:line="276"/>
      </w:pPr>
      <w:r>
        <w:t xml:space="preserve">Neither Party shall be liable for any failure or delay in performance (other than payment of money) caused by acts of God, natural disaster, fire, flood, war, terrorism, civil unrest, governmental order, epidemic or pandemic, utility outage, or other event beyond such Party's reasonable control.</w:t>
      </w:r>
    </w:p>
    <w:p>
      <w:pPr>
        <w:pStyle w:val="Heading2"/>
        <w:spacing w:after="140" w:before="280"/>
      </w:pPr>
      <w:r>
        <w:rPr>
          <w:b/>
          <w:bCs/>
        </w:rPr>
        <w:t xml:space="preserve">18. Notices</w:t>
      </w:r>
    </w:p>
    <w:p>
      <w:pPr>
        <w:spacing w:after="120" w:line="276"/>
      </w:pPr>
      <w:r>
        <w:t xml:space="preserve">All notices required hereunder shall be in writing and shall be deemed given (a) when delivered by hand, (b) one business day after deposit with a nationally recognized overnight courier, or (c) when sent by email to the address on file in Licensor's member platform, with delivery confirmation. Notices to Licensor shall be sent to: 25 Woodgreen LLC, 25 Woodgreen Place, Madison, Mississippi 39110, and to the email address designated on the platform.</w:t>
      </w:r>
    </w:p>
    <w:p>
      <w:pPr>
        <w:pStyle w:val="Heading2"/>
        <w:spacing w:after="140" w:before="280"/>
      </w:pPr>
      <w:r>
        <w:rPr>
          <w:b/>
          <w:bCs/>
        </w:rPr>
        <w:t xml:space="preserve">19. Electronic Signatures; Platform Delivery</w:t>
      </w:r>
    </w:p>
    <w:p>
      <w:pPr>
        <w:spacing w:after="120" w:line="276"/>
      </w:pPr>
      <w:r>
        <w:t xml:space="preserve">The Parties agree that this Agreement and any amendment hereto may be executed by electronic signature, including via Licensor's member platform, and that such electronic signatures shall have the same legal effect as original ink signatures under the Mississippi Uniform Electronic Transactions Act (Miss. Code Ann. § 75-12-1 et seq.) and the federal E-SIGN Act (15 U.S.C. § 7001 et seq.). Licensee consents to electronic delivery of this Agreement, the Fee Schedule, the House Rules, and any notices via the member platform or the email address on file.</w:t>
      </w:r>
    </w:p>
    <w:p>
      <w:pPr>
        <w:pStyle w:val="Heading2"/>
        <w:spacing w:after="140" w:before="280"/>
      </w:pPr>
      <w:r>
        <w:rPr>
          <w:b/>
          <w:bCs/>
        </w:rPr>
        <w:t xml:space="preserve">20. Governing Law; Venue; Waiver of Jury Trial</w:t>
      </w:r>
    </w:p>
    <w:p>
      <w:pPr>
        <w:spacing w:after="120" w:line="276"/>
      </w:pPr>
      <w:r>
        <w:t xml:space="preserve">This Agreement is governed by the laws of the State of Mississippi, without regard to conflict-of-laws principles. The Parties consent to the exclusive jurisdiction and venue of the state and federal courts located in Madison County, Mississippi. EACH PARTY KNOWINGLY AND VOLUNTARILY WAIVES ANY RIGHT TO A JURY TRIAL IN ANY ACTION ARISING OUT OF OR RELATING TO THIS AGREEMENT.</w:t>
      </w:r>
    </w:p>
    <w:p>
      <w:pPr>
        <w:pStyle w:val="Heading2"/>
        <w:spacing w:after="140" w:before="280"/>
      </w:pPr>
      <w:r>
        <w:rPr>
          <w:b/>
          <w:bCs/>
        </w:rPr>
        <w:t xml:space="preserve">21. General Provisions</w:t>
      </w:r>
    </w:p>
    <w:p>
      <w:pPr>
        <w:spacing w:after="120" w:line="276"/>
      </w:pPr>
      <w:r>
        <w:t xml:space="preserve">21.1  Entire Agreement. This Agreement, together with Schedules A through D and the then-current Fee Schedule and House Rules, constitutes the entire agreement between the Parties and supersedes all prior agreements and understandings.</w:t>
      </w:r>
    </w:p>
    <w:p>
      <w:pPr>
        <w:spacing w:after="120" w:line="276"/>
      </w:pPr>
      <w:r>
        <w:t xml:space="preserve">21.2  Amendment. No amendment is effective unless in writing and signed (including by electronic signature) by both Parties.</w:t>
      </w:r>
    </w:p>
    <w:p>
      <w:pPr>
        <w:spacing w:after="120" w:line="276"/>
      </w:pPr>
      <w:r>
        <w:t xml:space="preserve">21.3  Severability. If any provision is held unenforceable, the remainder shall continue in full force and effect.</w:t>
      </w:r>
    </w:p>
    <w:p>
      <w:pPr>
        <w:spacing w:after="120" w:line="276"/>
      </w:pPr>
      <w:r>
        <w:t xml:space="preserve">21.4  No Waiver. No waiver of any provision is effective unless in writing, and no single waiver constitutes a continuing waiver.</w:t>
      </w:r>
    </w:p>
    <w:p>
      <w:pPr>
        <w:spacing w:after="120" w:line="276"/>
      </w:pPr>
      <w:r>
        <w:t xml:space="preserve">21.5  Counterparts. This Agreement may be executed in counterparts, each of which is an original and all of which together constitute one instrument.</w:t>
      </w:r>
    </w:p>
    <w:p>
      <w:pPr>
        <w:spacing w:after="120" w:line="276"/>
      </w:pPr>
      <w:r>
        <w:t xml:space="preserve">21.6  Independent Contractors. The Parties are independent contractors. Nothing herein creates a partnership, joint venture, agency, or employment relationship.</w:t>
      </w:r>
    </w:p>
    <w:p>
      <w:r>
        <w:br w:type="page"/>
      </w:r>
    </w:p>
    <w:p>
      <w:pPr>
        <w:pStyle w:val="Heading1"/>
        <w:spacing w:after="180" w:before="360"/>
      </w:pPr>
      <w:r>
        <w:t xml:space="preserve">Signatures</w:t>
      </w:r>
    </w:p>
    <w:p>
      <w:pPr>
        <w:spacing w:after="120" w:line="276"/>
      </w:pPr>
      <w:r>
        <w:t xml:space="preserve">IN WITNESS WHEREOF, the Parties have executed this Agreement as of the Effective Date.</w:t>
      </w:r>
    </w:p>
    <w:p>
      <w:r>
        <w:t xml:space="preserve"/>
      </w:r>
    </w:p>
    <w:p>
      <w:pPr>
        <w:spacing w:after="120" w:line="276"/>
      </w:pPr>
      <w:r>
        <w:rPr>
          <w:b/>
          <w:bCs/>
        </w:rPr>
        <w:t xml:space="preserve">LICENSOR: 25 WOODGREEN LLC</w:t>
      </w:r>
    </w:p>
    <w:p>
      <w:r>
        <w:t xml:space="preserve"/>
      </w:r>
    </w:p>
    <w:p>
      <w:pPr>
        <w:spacing w:after="80"/>
      </w:pPr>
      <w:r>
        <w:rPr>
          <w:b/>
          <w:bCs/>
        </w:rPr>
        <w:t xml:space="preserve">By: </w:t>
      </w:r>
      <w:r>
        <w:t xml:space="preserve">______________________________________________</w:t>
      </w:r>
    </w:p>
    <w:p>
      <w:pPr>
        <w:spacing w:after="80"/>
      </w:pPr>
      <w:r>
        <w:rPr>
          <w:b/>
          <w:bCs/>
        </w:rPr>
        <w:t xml:space="preserve">Name: </w:t>
      </w:r>
      <w:r>
        <w:t xml:space="preserve">______________________________________________</w:t>
      </w:r>
    </w:p>
    <w:p>
      <w:pPr>
        <w:spacing w:after="80"/>
      </w:pPr>
      <w:r>
        <w:rPr>
          <w:b/>
          <w:bCs/>
        </w:rPr>
        <w:t xml:space="preserve">Title: </w:t>
      </w:r>
      <w:r>
        <w:t xml:space="preserve">______________________________________________</w:t>
      </w:r>
    </w:p>
    <w:p>
      <w:pPr>
        <w:spacing w:after="80"/>
      </w:pPr>
      <w:r>
        <w:rPr>
          <w:b/>
          <w:bCs/>
        </w:rPr>
        <w:t xml:space="preserve">Date: </w:t>
      </w:r>
      <w:r>
        <w:t xml:space="preserve">______________________________________________</w:t>
      </w:r>
    </w:p>
    <w:p>
      <w:r>
        <w:t xml:space="preserve"/>
      </w:r>
    </w:p>
    <w:p>
      <w:r>
        <w:t xml:space="preserve"/>
      </w:r>
    </w:p>
    <w:p>
      <w:pPr>
        <w:spacing w:after="120" w:line="276"/>
      </w:pPr>
      <w:r>
        <w:rPr>
          <w:b/>
          <w:bCs/>
        </w:rPr>
        <w:t xml:space="preserve">LICENSEE:</w:t>
      </w:r>
    </w:p>
    <w:p>
      <w:r>
        <w:t xml:space="preserve"/>
      </w:r>
    </w:p>
    <w:p>
      <w:pPr>
        <w:spacing w:after="80"/>
      </w:pPr>
      <w:r>
        <w:rPr>
          <w:b/>
          <w:bCs/>
        </w:rPr>
        <w:t xml:space="preserve">Licensee Name (Individual or Entity): </w:t>
      </w:r>
      <w:r>
        <w:t xml:space="preserve">______________________________________________</w:t>
      </w:r>
    </w:p>
    <w:p>
      <w:pPr>
        <w:spacing w:after="80"/>
      </w:pPr>
      <w:r>
        <w:rPr>
          <w:b/>
          <w:bCs/>
        </w:rPr>
        <w:t xml:space="preserve">By (Signature): </w:t>
      </w:r>
      <w:r>
        <w:t xml:space="preserve">______________________________________________</w:t>
      </w:r>
    </w:p>
    <w:p>
      <w:pPr>
        <w:spacing w:after="80"/>
      </w:pPr>
      <w:r>
        <w:rPr>
          <w:b/>
          <w:bCs/>
        </w:rPr>
        <w:t xml:space="preserve">Print Name: </w:t>
      </w:r>
      <w:r>
        <w:t xml:space="preserve">______________________________________________</w:t>
      </w:r>
    </w:p>
    <w:p>
      <w:pPr>
        <w:spacing w:after="80"/>
      </w:pPr>
      <w:r>
        <w:rPr>
          <w:b/>
          <w:bCs/>
        </w:rPr>
        <w:t xml:space="preserve">Title (if entity): </w:t>
      </w:r>
      <w:r>
        <w:t xml:space="preserve">______________________________________________</w:t>
      </w:r>
    </w:p>
    <w:p>
      <w:pPr>
        <w:spacing w:after="80"/>
      </w:pPr>
      <w:r>
        <w:rPr>
          <w:b/>
          <w:bCs/>
        </w:rPr>
        <w:t xml:space="preserve">Date: </w:t>
      </w:r>
      <w:r>
        <w:t xml:space="preserve">______________________________________________</w:t>
      </w:r>
    </w:p>
    <w:p>
      <w:r>
        <w:br w:type="page"/>
      </w:r>
    </w:p>
    <w:p>
      <w:pPr>
        <w:pStyle w:val="Heading1"/>
        <w:spacing w:after="180" w:before="360"/>
      </w:pPr>
      <w:r>
        <w:t xml:space="preserve">Schedule A — Licensed Premises, Term, and Fees</w:t>
      </w:r>
    </w:p>
    <w:p>
      <w:pPr>
        <w:spacing w:after="120" w:line="276"/>
      </w:pPr>
      <w:r>
        <w:t xml:space="preserve">This Schedule A is incorporated into and made a part of the Coworking License Agreement between 25 Woodgreen LLC and the Licensee identified below.</w:t>
      </w:r>
    </w:p>
    <w:p>
      <w:pPr>
        <w:pStyle w:val="Heading2"/>
        <w:spacing w:after="120" w:before="240"/>
      </w:pPr>
      <w:r>
        <w:t xml:space="preserve">1. Licensee Information</w:t>
      </w:r>
    </w:p>
    <w:p>
      <w:pPr>
        <w:spacing w:after="80"/>
      </w:pPr>
      <w:r>
        <w:rPr>
          <w:b/>
          <w:bCs/>
        </w:rPr>
        <w:t xml:space="preserve">Licensee Legal Name: </w:t>
      </w:r>
      <w:r>
        <w:t xml:space="preserve">______________________________________________</w:t>
      </w:r>
    </w:p>
    <w:p>
      <w:pPr>
        <w:spacing w:after="80"/>
      </w:pPr>
      <w:r>
        <w:rPr>
          <w:b/>
          <w:bCs/>
        </w:rPr>
        <w:t xml:space="preserve">Entity Type (LLC, Corp, Sole Prop, Individual): </w:t>
      </w:r>
      <w:r>
        <w:t xml:space="preserve">______________________________________________</w:t>
      </w:r>
    </w:p>
    <w:p>
      <w:pPr>
        <w:spacing w:after="80"/>
      </w:pPr>
      <w:r>
        <w:rPr>
          <w:b/>
          <w:bCs/>
        </w:rPr>
        <w:t xml:space="preserve">State of Formation: </w:t>
      </w:r>
      <w:r>
        <w:t xml:space="preserve">______________________________________________</w:t>
      </w:r>
    </w:p>
    <w:p>
      <w:pPr>
        <w:spacing w:after="80"/>
      </w:pPr>
      <w:r>
        <w:rPr>
          <w:b/>
          <w:bCs/>
        </w:rPr>
        <w:t xml:space="preserve">Primary Contact Name: </w:t>
      </w:r>
      <w:r>
        <w:t xml:space="preserve">______________________________________________</w:t>
      </w:r>
    </w:p>
    <w:p>
      <w:pPr>
        <w:spacing w:after="80"/>
      </w:pPr>
      <w:r>
        <w:rPr>
          <w:b/>
          <w:bCs/>
        </w:rPr>
        <w:t xml:space="preserve">Primary Contact Email: </w:t>
      </w:r>
      <w:r>
        <w:t xml:space="preserve">______________________________________________</w:t>
      </w:r>
    </w:p>
    <w:p>
      <w:pPr>
        <w:spacing w:after="80"/>
      </w:pPr>
      <w:r>
        <w:rPr>
          <w:b/>
          <w:bCs/>
        </w:rPr>
        <w:t xml:space="preserve">Primary Contact Phone: </w:t>
      </w:r>
      <w:r>
        <w:t xml:space="preserve">______________________________________________</w:t>
      </w:r>
    </w:p>
    <w:p>
      <w:pPr>
        <w:spacing w:after="80"/>
      </w:pPr>
      <w:r>
        <w:rPr>
          <w:b/>
          <w:bCs/>
        </w:rPr>
        <w:t xml:space="preserve">Billing Address: </w:t>
      </w:r>
      <w:r>
        <w:t xml:space="preserve">______________________________________________</w:t>
      </w:r>
    </w:p>
    <w:p>
      <w:pPr>
        <w:pStyle w:val="Heading2"/>
        <w:spacing w:after="120" w:before="240"/>
      </w:pPr>
      <w:r>
        <w:t xml:space="preserve">2. Licensed Premises</w:t>
      </w:r>
    </w:p>
    <w:p>
      <w:pPr>
        <w:spacing w:after="80"/>
      </w:pPr>
      <w:r>
        <w:rPr>
          <w:b/>
          <w:bCs/>
        </w:rPr>
        <w:t xml:space="preserve">Office / Suite Number(s): </w:t>
      </w:r>
      <w:r>
        <w:t xml:space="preserve">______________________________________________</w:t>
      </w:r>
    </w:p>
    <w:p>
      <w:pPr>
        <w:spacing w:after="80"/>
      </w:pPr>
      <w:r>
        <w:rPr>
          <w:b/>
          <w:bCs/>
        </w:rPr>
        <w:t xml:space="preserve">Approximate Square Footage: </w:t>
      </w:r>
      <w:r>
        <w:t xml:space="preserve">______________________________________________</w:t>
      </w:r>
    </w:p>
    <w:p>
      <w:pPr>
        <w:spacing w:after="80"/>
      </w:pPr>
      <w:r>
        <w:rPr>
          <w:b/>
          <w:bCs/>
        </w:rPr>
        <w:t xml:space="preserve">Bundled Open-Area Description (if applicable): </w:t>
      </w:r>
      <w:r>
        <w:t xml:space="preserve">______________________________________________</w:t>
      </w:r>
    </w:p>
    <w:p>
      <w:pPr>
        <w:spacing w:after="80"/>
      </w:pPr>
      <w:r>
        <w:rPr>
          <w:b/>
          <w:bCs/>
        </w:rPr>
        <w:t xml:space="preserve">Maximum Occupancy: </w:t>
      </w:r>
      <w:r>
        <w:t xml:space="preserve">______________________________________________</w:t>
      </w:r>
    </w:p>
    <w:p>
      <w:pPr>
        <w:pStyle w:val="Heading2"/>
        <w:spacing w:after="120" w:before="240"/>
      </w:pPr>
      <w:r>
        <w:t xml:space="preserve">3. Term</w:t>
      </w:r>
    </w:p>
    <w:p>
      <w:pPr>
        <w:spacing w:after="120" w:line="276"/>
      </w:pPr>
      <w:r>
        <w:t xml:space="preserve">Licensee elects the following Initial Term (check one):</w:t>
      </w:r>
    </w:p>
    <w:p>
      <w:pPr>
        <w:pStyle w:val="ListParagraph"/>
        <w:numPr>
          <w:ilvl w:val="0"/>
          <w:numId w:val="2"/>
        </w:numPr>
        <w:spacing w:after="80"/>
      </w:pPr>
      <w:r>
        <w:t xml:space="preserve">☐  Twelve (12) months</w:t>
      </w:r>
    </w:p>
    <w:p>
      <w:pPr>
        <w:pStyle w:val="ListParagraph"/>
        <w:numPr>
          <w:ilvl w:val="0"/>
          <w:numId w:val="2"/>
        </w:numPr>
        <w:spacing w:after="80"/>
      </w:pPr>
      <w:r>
        <w:t xml:space="preserve">☐  Eighteen (18) months</w:t>
      </w:r>
    </w:p>
    <w:p>
      <w:pPr>
        <w:pStyle w:val="ListParagraph"/>
        <w:numPr>
          <w:ilvl w:val="0"/>
          <w:numId w:val="2"/>
        </w:numPr>
        <w:spacing w:after="80"/>
      </w:pPr>
      <w:r>
        <w:t xml:space="preserve">☐  Twenty-four (24) months</w:t>
      </w:r>
    </w:p>
    <w:p>
      <w:pPr>
        <w:spacing w:after="80"/>
      </w:pPr>
      <w:r>
        <w:rPr>
          <w:b/>
          <w:bCs/>
        </w:rPr>
        <w:t xml:space="preserve">Commencement Date: </w:t>
      </w:r>
      <w:r>
        <w:t xml:space="preserve">______________________________________________</w:t>
      </w:r>
    </w:p>
    <w:p>
      <w:pPr>
        <w:spacing w:after="80"/>
      </w:pPr>
      <w:r>
        <w:rPr>
          <w:b/>
          <w:bCs/>
        </w:rPr>
        <w:t xml:space="preserve">Expiration Date: </w:t>
      </w:r>
      <w:r>
        <w:t xml:space="preserve">______________________________________________</w:t>
      </w:r>
    </w:p>
    <w:p>
      <w:pPr>
        <w:pStyle w:val="Heading2"/>
        <w:spacing w:after="120" w:before="240"/>
      </w:pPr>
      <w:r>
        <w:t xml:space="preserve">4. Monthly License Fee</w:t>
      </w:r>
    </w:p>
    <w:p>
      <w:pPr>
        <w:spacing w:after="80"/>
      </w:pPr>
      <w:r>
        <w:rPr>
          <w:b/>
          <w:bCs/>
        </w:rPr>
        <w:t xml:space="preserve">Base Monthly License Fee: </w:t>
      </w:r>
      <w:r>
        <w:t xml:space="preserve">______________________________________________</w:t>
      </w:r>
    </w:p>
    <w:p>
      <w:pPr>
        <w:spacing w:after="80"/>
      </w:pPr>
      <w:r>
        <w:rPr>
          <w:b/>
          <w:bCs/>
        </w:rPr>
        <w:t xml:space="preserve">Furniture Package Fee (if elected): </w:t>
      </w:r>
      <w:r>
        <w:t xml:space="preserve">______________________________________________</w:t>
      </w:r>
    </w:p>
    <w:p>
      <w:pPr>
        <w:spacing w:after="80"/>
      </w:pPr>
      <w:r>
        <w:rPr>
          <w:b/>
          <w:bCs/>
        </w:rPr>
        <w:t xml:space="preserve">Other Monthly Charges: </w:t>
      </w:r>
      <w:r>
        <w:t xml:space="preserve">______________________________________________</w:t>
      </w:r>
    </w:p>
    <w:p>
      <w:pPr>
        <w:spacing w:after="80"/>
      </w:pPr>
      <w:r>
        <w:rPr>
          <w:b/>
          <w:bCs/>
        </w:rPr>
        <w:t xml:space="preserve">Total Monthly License Fee: </w:t>
      </w:r>
      <w:r>
        <w:t xml:space="preserve">______________________________________________</w:t>
      </w:r>
    </w:p>
    <w:p>
      <w:pPr>
        <w:spacing w:after="120" w:line="276"/>
      </w:pPr>
      <w:r>
        <w:t xml:space="preserve">Note: Pricing is governed by Licensor's then-current published Fee Schedule. The Total Monthly License Fee above is locked for the Initial Term.</w:t>
      </w:r>
    </w:p>
    <w:p>
      <w:pPr>
        <w:pStyle w:val="Heading2"/>
        <w:spacing w:after="120" w:before="240"/>
      </w:pPr>
      <w:r>
        <w:t xml:space="preserve">5. Conference Room Allotment</w:t>
      </w:r>
    </w:p>
    <w:p>
      <w:pPr>
        <w:spacing w:after="80"/>
      </w:pPr>
      <w:r>
        <w:rPr>
          <w:b/>
          <w:bCs/>
        </w:rPr>
        <w:t xml:space="preserve">Included Hours per Month: </w:t>
      </w:r>
      <w:r>
        <w:t xml:space="preserve">______________________________________________</w:t>
      </w:r>
    </w:p>
    <w:p>
      <w:pPr>
        <w:spacing w:after="80"/>
      </w:pPr>
      <w:r>
        <w:rPr>
          <w:b/>
          <w:bCs/>
        </w:rPr>
        <w:t xml:space="preserve">Member Overage Rate (per hour): </w:t>
      </w:r>
      <w:r>
        <w:t xml:space="preserve">______________________________________________</w:t>
      </w:r>
    </w:p>
    <w:p>
      <w:pPr>
        <w:spacing w:after="80"/>
      </w:pPr>
      <w:r>
        <w:rPr>
          <w:b/>
          <w:bCs/>
        </w:rPr>
        <w:t xml:space="preserve">Non-Member Rate (per hour): </w:t>
      </w:r>
      <w:r>
        <w:t xml:space="preserve">______________________________________________</w:t>
      </w:r>
    </w:p>
    <w:p>
      <w:pPr>
        <w:pStyle w:val="Heading2"/>
        <w:spacing w:after="120" w:before="240"/>
      </w:pPr>
      <w:r>
        <w:t xml:space="preserve">6. Furniture Election</w:t>
      </w:r>
    </w:p>
    <w:p>
      <w:pPr>
        <w:pStyle w:val="ListParagraph"/>
        <w:numPr>
          <w:ilvl w:val="0"/>
          <w:numId w:val="2"/>
        </w:numPr>
        <w:spacing w:after="80"/>
      </w:pPr>
      <w:r>
        <w:t xml:space="preserve">☐  Unfurnished (default — no additional fee)</w:t>
      </w:r>
    </w:p>
    <w:p>
      <w:pPr>
        <w:pStyle w:val="ListParagraph"/>
        <w:numPr>
          <w:ilvl w:val="0"/>
          <w:numId w:val="2"/>
        </w:numPr>
        <w:spacing w:after="80"/>
      </w:pPr>
      <w:r>
        <w:t xml:space="preserve">☐  Furniture Package (per Schedule D — option selected: ____________)</w:t>
      </w:r>
    </w:p>
    <w:p>
      <w:pPr>
        <w:pStyle w:val="Heading2"/>
        <w:spacing w:after="120" w:before="240"/>
      </w:pPr>
      <w:r>
        <w:t xml:space="preserve">7. Security Deposit</w:t>
      </w:r>
    </w:p>
    <w:p>
      <w:pPr>
        <w:spacing w:after="80"/>
      </w:pPr>
      <w:r>
        <w:rPr>
          <w:b/>
          <w:bCs/>
        </w:rPr>
        <w:t xml:space="preserve">Security Deposit Amount (equal to one month's Total Monthly License Fee): </w:t>
      </w:r>
      <w:r>
        <w:t xml:space="preserve">______________________________________________</w:t>
      </w:r>
    </w:p>
    <w:p>
      <w:pPr>
        <w:pStyle w:val="Heading2"/>
        <w:spacing w:after="120" w:before="240"/>
      </w:pPr>
      <w:r>
        <w:t xml:space="preserve">8. Payment Method on File</w:t>
      </w:r>
    </w:p>
    <w:p>
      <w:pPr>
        <w:spacing w:after="80"/>
      </w:pPr>
      <w:r>
        <w:rPr>
          <w:b/>
          <w:bCs/>
        </w:rPr>
        <w:t xml:space="preserve">Card / ACH Last Four: </w:t>
      </w:r>
      <w:r>
        <w:t xml:space="preserve">______________________________________________</w:t>
      </w:r>
    </w:p>
    <w:p>
      <w:pPr>
        <w:spacing w:after="80"/>
      </w:pPr>
      <w:r>
        <w:rPr>
          <w:b/>
          <w:bCs/>
        </w:rPr>
        <w:t xml:space="preserve">Auto-charge Day of Month: </w:t>
      </w:r>
      <w:r>
        <w:t xml:space="preserve">______________________________________________</w:t>
      </w:r>
    </w:p>
    <w:p>
      <w:r>
        <w:br w:type="page"/>
      </w:r>
    </w:p>
    <w:p>
      <w:pPr>
        <w:pStyle w:val="Heading1"/>
        <w:spacing w:after="180" w:before="360"/>
      </w:pPr>
      <w:r>
        <w:t xml:space="preserve">Schedule B — House Rules</w:t>
      </w:r>
    </w:p>
    <w:p>
      <w:pPr>
        <w:spacing w:after="120" w:line="276"/>
      </w:pPr>
      <w:r>
        <w:t xml:space="preserve">Licensee and Licensee's employees, invitees, and guests shall comply with the following House Rules. Licensor may amend these rules from time to time upon reasonable notice via the member platform.</w:t>
      </w:r>
    </w:p>
    <w:p>
      <w:pPr>
        <w:pStyle w:val="Heading2"/>
        <w:spacing w:after="120" w:before="240"/>
      </w:pPr>
      <w:r>
        <w:t xml:space="preserve">Access and Security</w:t>
      </w:r>
    </w:p>
    <w:p>
      <w:pPr>
        <w:pStyle w:val="ListParagraph"/>
        <w:numPr>
          <w:ilvl w:val="0"/>
          <w:numId w:val="2"/>
        </w:numPr>
        <w:spacing w:after="80"/>
      </w:pPr>
      <w:r>
        <w:t xml:space="preserve">Keycard / smart-lock credentials are personal to the Licensee and may not be shared, duplicated, or transferred.</w:t>
      </w:r>
    </w:p>
    <w:p>
      <w:pPr>
        <w:pStyle w:val="ListParagraph"/>
        <w:numPr>
          <w:ilvl w:val="0"/>
          <w:numId w:val="2"/>
        </w:numPr>
        <w:spacing w:after="80"/>
      </w:pPr>
      <w:r>
        <w:t xml:space="preserve">Lost credentials must be reported immediately; replacement fees apply per the Fee Schedule.</w:t>
      </w:r>
    </w:p>
    <w:p>
      <w:pPr>
        <w:pStyle w:val="ListParagraph"/>
        <w:numPr>
          <w:ilvl w:val="0"/>
          <w:numId w:val="2"/>
        </w:numPr>
        <w:spacing w:after="80"/>
      </w:pPr>
      <w:r>
        <w:t xml:space="preserve">After-hours guests must be escorted by the Licensee at all times.</w:t>
      </w:r>
    </w:p>
    <w:p>
      <w:pPr>
        <w:pStyle w:val="ListParagraph"/>
        <w:numPr>
          <w:ilvl w:val="0"/>
          <w:numId w:val="2"/>
        </w:numPr>
        <w:spacing w:after="80"/>
      </w:pPr>
      <w:r>
        <w:t xml:space="preserve">Do not prop open exterior doors or disable any security device.</w:t>
      </w:r>
    </w:p>
    <w:p>
      <w:pPr>
        <w:pStyle w:val="Heading2"/>
        <w:spacing w:after="120" w:before="240"/>
      </w:pPr>
      <w:r>
        <w:t xml:space="preserve">Common Areas and Conduct</w:t>
      </w:r>
    </w:p>
    <w:p>
      <w:pPr>
        <w:pStyle w:val="ListParagraph"/>
        <w:numPr>
          <w:ilvl w:val="0"/>
          <w:numId w:val="2"/>
        </w:numPr>
        <w:spacing w:after="80"/>
      </w:pPr>
      <w:r>
        <w:t xml:space="preserve">Keep noise at a level that allows others to work; take phone and video calls in your office or a designated phone room.</w:t>
      </w:r>
    </w:p>
    <w:p>
      <w:pPr>
        <w:pStyle w:val="ListParagraph"/>
        <w:numPr>
          <w:ilvl w:val="0"/>
          <w:numId w:val="2"/>
        </w:numPr>
        <w:spacing w:after="80"/>
      </w:pPr>
      <w:r>
        <w:t xml:space="preserve">Clean up after yourself in the kitchen and conference rooms.</w:t>
      </w:r>
    </w:p>
    <w:p>
      <w:pPr>
        <w:pStyle w:val="ListParagraph"/>
        <w:numPr>
          <w:ilvl w:val="0"/>
          <w:numId w:val="2"/>
        </w:numPr>
        <w:spacing w:after="80"/>
      </w:pPr>
      <w:r>
        <w:t xml:space="preserve">No smoking, vaping, or use of cannabis anywhere in the Building.</w:t>
      </w:r>
    </w:p>
    <w:p>
      <w:pPr>
        <w:pStyle w:val="ListParagraph"/>
        <w:numPr>
          <w:ilvl w:val="0"/>
          <w:numId w:val="2"/>
        </w:numPr>
        <w:spacing w:after="80"/>
      </w:pPr>
      <w:r>
        <w:t xml:space="preserve">Pets are not permitted except for service animals as required by law.</w:t>
      </w:r>
    </w:p>
    <w:p>
      <w:pPr>
        <w:pStyle w:val="ListParagraph"/>
        <w:numPr>
          <w:ilvl w:val="0"/>
          <w:numId w:val="2"/>
        </w:numPr>
        <w:spacing w:after="80"/>
      </w:pPr>
      <w:r>
        <w:t xml:space="preserve">Alcohol may only be served at Licensor-approved events.</w:t>
      </w:r>
    </w:p>
    <w:p>
      <w:pPr>
        <w:pStyle w:val="Heading2"/>
        <w:spacing w:after="120" w:before="240"/>
      </w:pPr>
      <w:r>
        <w:t xml:space="preserve">Conference Room</w:t>
      </w:r>
    </w:p>
    <w:p>
      <w:pPr>
        <w:pStyle w:val="ListParagraph"/>
        <w:numPr>
          <w:ilvl w:val="0"/>
          <w:numId w:val="2"/>
        </w:numPr>
        <w:spacing w:after="80"/>
      </w:pPr>
      <w:r>
        <w:t xml:space="preserve">Book through the member platform; first-come, first-served if not booked.</w:t>
      </w:r>
    </w:p>
    <w:p>
      <w:pPr>
        <w:pStyle w:val="ListParagraph"/>
        <w:numPr>
          <w:ilvl w:val="0"/>
          <w:numId w:val="2"/>
        </w:numPr>
        <w:spacing w:after="80"/>
      </w:pPr>
      <w:r>
        <w:t xml:space="preserve">Cancel at least two (2) hours in advance to avoid being charged for the slot.</w:t>
      </w:r>
    </w:p>
    <w:p>
      <w:pPr>
        <w:pStyle w:val="ListParagraph"/>
        <w:numPr>
          <w:ilvl w:val="0"/>
          <w:numId w:val="2"/>
        </w:numPr>
        <w:spacing w:after="80"/>
      </w:pPr>
      <w:r>
        <w:t xml:space="preserve">Leave the room as you found it: erase whiteboards, push in chairs, take trash.</w:t>
      </w:r>
    </w:p>
    <w:p>
      <w:pPr>
        <w:pStyle w:val="Heading2"/>
        <w:spacing w:after="120" w:before="240"/>
      </w:pPr>
      <w:r>
        <w:t xml:space="preserve">Office Use</w:t>
      </w:r>
    </w:p>
    <w:p>
      <w:pPr>
        <w:pStyle w:val="ListParagraph"/>
        <w:numPr>
          <w:ilvl w:val="0"/>
          <w:numId w:val="2"/>
        </w:numPr>
        <w:spacing w:after="80"/>
      </w:pPr>
      <w:r>
        <w:t xml:space="preserve">No painting, drilling, or affixing items to walls without written approval.</w:t>
      </w:r>
    </w:p>
    <w:p>
      <w:pPr>
        <w:pStyle w:val="ListParagraph"/>
        <w:numPr>
          <w:ilvl w:val="0"/>
          <w:numId w:val="2"/>
        </w:numPr>
        <w:spacing w:after="80"/>
      </w:pPr>
      <w:r>
        <w:t xml:space="preserve">Do not block HVAC vents, electrical panels, or life-safety equipment.</w:t>
      </w:r>
    </w:p>
    <w:p>
      <w:pPr>
        <w:pStyle w:val="ListParagraph"/>
        <w:numPr>
          <w:ilvl w:val="0"/>
          <w:numId w:val="2"/>
        </w:numPr>
        <w:spacing w:after="80"/>
      </w:pPr>
      <w:r>
        <w:t xml:space="preserve">Storage of inventory, equipment, or materials beyond ordinary office use requires written approval.</w:t>
      </w:r>
    </w:p>
    <w:p>
      <w:pPr>
        <w:pStyle w:val="Heading2"/>
        <w:spacing w:after="120" w:before="240"/>
      </w:pPr>
      <w:r>
        <w:t xml:space="preserve">Mail and Deliveries</w:t>
      </w:r>
    </w:p>
    <w:p>
      <w:pPr>
        <w:pStyle w:val="ListParagraph"/>
        <w:numPr>
          <w:ilvl w:val="0"/>
          <w:numId w:val="2"/>
        </w:numPr>
        <w:spacing w:after="80"/>
      </w:pPr>
      <w:r>
        <w:t xml:space="preserve">Licensor will accept mail and small packages on Licensee's behalf during business hours. Licensor is not responsible for items left at reception beyond 72 hours.</w:t>
      </w:r>
    </w:p>
    <w:p>
      <w:r>
        <w:br w:type="page"/>
      </w:r>
    </w:p>
    <w:p>
      <w:pPr>
        <w:pStyle w:val="Heading1"/>
        <w:spacing w:after="180" w:before="360"/>
      </w:pPr>
      <w:r>
        <w:t xml:space="preserve">Schedule C — Personal Guaranty</w:t>
      </w:r>
    </w:p>
    <w:p>
      <w:pPr>
        <w:spacing w:after="120" w:line="276"/>
      </w:pPr>
      <w:r>
        <w:t xml:space="preserve">If Licensee is a business entity, this Personal Guaranty must be executed by an individual principal of Licensee as a condition of the Coworking License Agreement.</w:t>
      </w:r>
    </w:p>
    <w:p>
      <w:pPr>
        <w:spacing w:after="120" w:line="276"/>
      </w:pPr>
      <w:r>
        <w:t xml:space="preserve">FOR VALUE RECEIVED, and in consideration of 25 Woodgreen LLC ("Licensor") entering into the Coworking License Agreement (the "Agreement") with the entity identified on Schedule A ("Licensee"), the undersigned individual (the "Guarantor") absolutely, unconditionally, and irrevocably guarantees to Licensor the full and prompt payment and performance of all monetary obligations of Licensee under the Agreement, including without limitation License Fees, late charges, overage charges, liquidated damages, and reimbursement of Licensor's enforcement costs and reasonable attorneys' fees.</w:t>
      </w:r>
    </w:p>
    <w:p>
      <w:pPr>
        <w:spacing w:after="120" w:line="276"/>
      </w:pPr>
      <w:r>
        <w:t xml:space="preserve">This is a guaranty of payment and performance, not of collection. Licensor may proceed against Guarantor without first proceeding against Licensee or exhausting any other remedy. Guarantor waives presentment, demand, protest, notice of dishonor, and any defense based on the alteration, amendment, extension, renewal, or modification of the Agreement.</w:t>
      </w:r>
    </w:p>
    <w:p>
      <w:pPr>
        <w:spacing w:after="120" w:line="276"/>
      </w:pPr>
      <w:r>
        <w:t xml:space="preserve">This Guaranty shall be governed by the laws of the State of Mississippi and shall remain in effect until all obligations of Licensee under the Agreement are fully satisfied.</w:t>
      </w:r>
    </w:p>
    <w:p>
      <w:r>
        <w:t xml:space="preserve"/>
      </w:r>
    </w:p>
    <w:p>
      <w:pPr>
        <w:spacing w:after="120" w:line="276"/>
      </w:pPr>
      <w:r>
        <w:rPr>
          <w:b/>
          <w:bCs/>
        </w:rPr>
        <w:t xml:space="preserve">GUARANTOR:</w:t>
      </w:r>
    </w:p>
    <w:p>
      <w:pPr>
        <w:spacing w:after="80"/>
      </w:pPr>
      <w:r>
        <w:rPr>
          <w:b/>
          <w:bCs/>
        </w:rPr>
        <w:t xml:space="preserve">Print Name: </w:t>
      </w:r>
      <w:r>
        <w:t xml:space="preserve">______________________________________________</w:t>
      </w:r>
    </w:p>
    <w:p>
      <w:pPr>
        <w:spacing w:after="80"/>
      </w:pPr>
      <w:r>
        <w:rPr>
          <w:b/>
          <w:bCs/>
        </w:rPr>
        <w:t xml:space="preserve">Signature: </w:t>
      </w:r>
      <w:r>
        <w:t xml:space="preserve">______________________________________________</w:t>
      </w:r>
    </w:p>
    <w:p>
      <w:pPr>
        <w:spacing w:after="80"/>
      </w:pPr>
      <w:r>
        <w:rPr>
          <w:b/>
          <w:bCs/>
        </w:rPr>
        <w:t xml:space="preserve">Home Address: </w:t>
      </w:r>
      <w:r>
        <w:t xml:space="preserve">______________________________________________</w:t>
      </w:r>
    </w:p>
    <w:p>
      <w:pPr>
        <w:spacing w:after="80"/>
      </w:pPr>
      <w:r>
        <w:rPr>
          <w:b/>
          <w:bCs/>
        </w:rPr>
        <w:t xml:space="preserve">Personal Email: </w:t>
      </w:r>
      <w:r>
        <w:t xml:space="preserve">______________________________________________</w:t>
      </w:r>
    </w:p>
    <w:p>
      <w:pPr>
        <w:spacing w:after="80"/>
      </w:pPr>
      <w:r>
        <w:rPr>
          <w:b/>
          <w:bCs/>
        </w:rPr>
        <w:t xml:space="preserve">Date: </w:t>
      </w:r>
      <w:r>
        <w:t xml:space="preserve">______________________________________________</w:t>
      </w:r>
    </w:p>
    <w:p>
      <w:r>
        <w:br w:type="page"/>
      </w:r>
    </w:p>
    <w:p>
      <w:pPr>
        <w:pStyle w:val="Heading1"/>
        <w:spacing w:after="180" w:before="360"/>
      </w:pPr>
      <w:r>
        <w:t xml:space="preserve">Schedule D — Furniture Package Options</w:t>
      </w:r>
    </w:p>
    <w:p>
      <w:pPr>
        <w:spacing w:after="120" w:line="276"/>
      </w:pPr>
      <w:r>
        <w:t xml:space="preserve">If Licensee elects a Furniture Package on Schedule A, the package will be procured and installed by Licensor prior to the Commencement Date. The monthly furniture package fee shown on the Fee Schedule will be added to the License Fee for the duration of the Initial Term. Furniture remains the property of Licensor.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A5F" w:val="clear"/>
            <w:tcMar>
              <w:top w:type="dxa" w:w="100"/>
              <w:left w:type="dxa" w:w="140"/>
              <w:bottom w:type="dxa" w:w="100"/>
              <w:right w:type="dxa" w:w="140"/>
            </w:tcMar>
          </w:tcPr>
          <w:p>
            <w:r>
              <w:rPr>
                <w:b/>
                <w:bCs/>
                <w:color w:val="FFFFFF"/>
              </w:rPr>
              <w:t xml:space="preserve">Package</w:t>
            </w:r>
          </w:p>
        </w:tc>
        <w:tc>
          <w:tcPr>
            <w:tcW w:type="dxa" w:w="3120"/>
            <w:tcBorders>
              <w:top w:val="single" w:color="BFBFBF" w:sz="6"/>
              <w:left w:val="single" w:color="BFBFBF" w:sz="6"/>
              <w:bottom w:val="single" w:color="BFBFBF" w:sz="6"/>
              <w:right w:val="single" w:color="BFBFBF" w:sz="6"/>
            </w:tcBorders>
            <w:shd w:fill="1F3A5F" w:val="clear"/>
            <w:tcMar>
              <w:top w:type="dxa" w:w="100"/>
              <w:left w:type="dxa" w:w="140"/>
              <w:bottom w:type="dxa" w:w="100"/>
              <w:right w:type="dxa" w:w="140"/>
            </w:tcMar>
          </w:tcPr>
          <w:p>
            <w:r>
              <w:rPr>
                <w:b/>
                <w:bCs/>
                <w:color w:val="FFFFFF"/>
              </w:rPr>
              <w:t xml:space="preserve">Includes</w:t>
            </w:r>
          </w:p>
        </w:tc>
        <w:tc>
          <w:tcPr>
            <w:tcW w:type="dxa" w:w="3120"/>
            <w:tcBorders>
              <w:top w:val="single" w:color="BFBFBF" w:sz="6"/>
              <w:left w:val="single" w:color="BFBFBF" w:sz="6"/>
              <w:bottom w:val="single" w:color="BFBFBF" w:sz="6"/>
              <w:right w:val="single" w:color="BFBFBF" w:sz="6"/>
            </w:tcBorders>
            <w:shd w:fill="1F3A5F" w:val="clear"/>
            <w:tcMar>
              <w:top w:type="dxa" w:w="100"/>
              <w:left w:type="dxa" w:w="140"/>
              <w:bottom w:type="dxa" w:w="100"/>
              <w:right w:type="dxa" w:w="140"/>
            </w:tcMar>
          </w:tcPr>
          <w:p>
            <w:r>
              <w:rPr>
                <w:b/>
                <w:bCs/>
                <w:color w:val="FFFFFF"/>
              </w:rPr>
              <w:t xml:space="preserve">Notes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Option 1 — Essentials</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(1) sit-stand desk, (1) ergonomic task chair, (1) two-drawer mobile pedestal</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Solo private office. Choice of laminate finish.</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Option 2 — Executive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(1) executive desk, (1) high-back leather chair, (2) guest chairs, (1) bookshelf</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Best for client-facing offices.</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Option 3 — Team (2-pack)</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(2) sit-stand desks, (2) task chairs, (1) lateral file, (1) small whiteboard</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Best for a 2-person office. Configurable.</w:t>
            </w:r>
          </w:p>
        </w:tc>
      </w:tr>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Option 4 — Custom</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Licensee specifies furniture; Licensor procures at cost plus published markup.</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Minimum spend per Fee Schedule.</w:t>
            </w:r>
          </w:p>
        </w:tc>
      </w:tr>
    </w:tbl>
    <w:p>
      <w:r>
        <w:t xml:space="preserve"/>
      </w:r>
    </w:p>
    <w:p>
      <w:pPr>
        <w:spacing w:after="120" w:line="276"/>
      </w:pPr>
      <w:r>
        <w:t xml:space="preserve">Furniture selections must be made not less than fourteen (14) days prior to the Commencement Date to ensure installation. Substitutions for items of equivalent quality are at Licensor's discretion if a selected item is unavailable.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25 Woodgreen LLC — Coworking License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Woodgreen Coworking License Agreement</dc:title>
  <dc:creator>25 Woodgreen LLC</dc:creator>
  <cp:lastModifiedBy>Un-named</cp:lastModifiedBy>
  <cp:revision>1</cp:revision>
  <dcterms:created xsi:type="dcterms:W3CDTF">2026-05-28T16:54:31.026Z</dcterms:created>
  <dcterms:modified xsi:type="dcterms:W3CDTF">2026-05-28T16:54:31.026Z</dcterms:modified>
</cp:coreProperties>
</file>

<file path=docProps/custom.xml><?xml version="1.0" encoding="utf-8"?>
<Properties xmlns="http://schemas.openxmlformats.org/officeDocument/2006/custom-properties" xmlns:vt="http://schemas.openxmlformats.org/officeDocument/2006/docPropsVTypes"/>
</file>