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0"/>
          <w:szCs w:val="30"/>
        </w:rPr>
        <w:t xml:space="preserve">OPERATING AGREEMENT</w:t>
      </w:r>
    </w:p>
    <w:p>
      <w:pPr>
        <w:spacing w:after="120"/>
        <w:jc w:val="center"/>
      </w:pPr>
      <w:r>
        <w:rPr>
          <w:rFonts w:ascii="Arial" w:cs="Arial" w:eastAsia="Arial" w:hAnsi="Arial"/>
          <w:b/>
          <w:bCs/>
          <w:sz w:val="24"/>
          <w:szCs w:val="24"/>
        </w:rPr>
        <w:t xml:space="preserve">OF</w:t>
      </w:r>
    </w:p>
    <w:p>
      <w:pPr>
        <w:spacing w:after="120"/>
        <w:jc w:val="center"/>
      </w:pPr>
      <w:r>
        <w:rPr>
          <w:rFonts w:ascii="Arial" w:cs="Arial" w:eastAsia="Arial" w:hAnsi="Arial"/>
          <w:b/>
          <w:bCs/>
          <w:sz w:val="30"/>
          <w:szCs w:val="30"/>
        </w:rPr>
        <w:t xml:space="preserve">25 WOODGREEN LLC</w:t>
      </w:r>
    </w:p>
    <w:p>
      <w:pPr>
        <w:spacing w:after="80"/>
        <w:jc w:val="center"/>
      </w:pPr>
      <w:r>
        <w:rPr>
          <w:rFonts w:ascii="Arial" w:cs="Arial" w:eastAsia="Arial" w:hAnsi="Arial"/>
          <w:sz w:val="22"/>
          <w:szCs w:val="22"/>
        </w:rPr>
        <w:t xml:space="preserve">A Mississippi Single-Member Limited Liability Company</w:t>
      </w:r>
    </w:p>
    <w:p>
      <w:pPr>
        <w:spacing w:after="80"/>
        <w:jc w:val="center"/>
      </w:pPr>
      <w:r>
        <w:rPr>
          <w:rFonts w:ascii="Arial" w:cs="Arial" w:eastAsia="Arial" w:hAnsi="Arial"/>
          <w:sz w:val="20"/>
          <w:szCs w:val="20"/>
        </w:rPr>
        <w:t xml:space="preserve">Mississippi Secretary of State Business ID No. 1553241</w:t>
      </w:r>
    </w:p>
    <w:p>
      <w:pPr>
        <w:spacing w:after="240"/>
        <w:jc w:val="center"/>
      </w:pPr>
      <w:r>
        <w:rPr>
          <w:rFonts w:ascii="Arial" w:cs="Arial" w:eastAsia="Arial" w:hAnsi="Arial"/>
          <w:sz w:val="20"/>
          <w:szCs w:val="20"/>
        </w:rPr>
        <w:t xml:space="preserve">Federal EIN 42-2970793</w:t>
      </w:r>
    </w:p>
    <w:p>
      <w:pPr>
        <w:pBdr>
          <w:bottom w:val="single" w:color="999999" w:sz="6" w:space="1"/>
        </w:pBdr>
        <w:spacing w:after="200"/>
      </w:pPr>
      <w:r>
        <w:rPr>
          <w:sz w:val="4"/>
          <w:szCs w:val="4"/>
        </w:rPr>
        <w:t xml:space="preserve"/>
      </w:r>
    </w:p>
    <w:p>
      <w:pPr>
        <w:spacing w:after="140"/>
        <w:jc w:val="both"/>
      </w:pPr>
      <w:r>
        <w:rPr>
          <w:rFonts w:ascii="Arial" w:cs="Arial" w:eastAsia="Arial" w:hAnsi="Arial"/>
          <w:sz w:val="22"/>
          <w:szCs w:val="22"/>
        </w:rPr>
        <w:t xml:space="preserve">This Operating Agreement (this “Agreement”) of 25 Woodgreen LLC, a Mississippi limited liability company (the “Company”), is entered into and effective as of June 4, 2026 (the “Effective Date”), by Tyler Raborn, the sole and managing member of the Company (the “Member”). The Member, intending to be legally bound, hereby adopts the following as the operating agreement of the Company pursuant to the Mississippi Limited Liability Company Act, Miss. Code Ann. § 79-29-101 et seq. (the “Act”).</w:t>
      </w:r>
    </w:p>
    <w:p>
      <w:pPr>
        <w:pStyle w:val="Heading1"/>
        <w:spacing w:after="140" w:before="280"/>
      </w:pPr>
      <w:r>
        <w:rPr>
          <w:rFonts w:ascii="Arial" w:cs="Arial" w:eastAsia="Arial" w:hAnsi="Arial"/>
          <w:b/>
          <w:bCs/>
          <w:sz w:val="24"/>
          <w:szCs w:val="24"/>
        </w:rPr>
        <w:t xml:space="preserve">RECITALS</w:t>
      </w:r>
    </w:p>
    <w:p>
      <w:pPr>
        <w:spacing w:after="140"/>
        <w:jc w:val="both"/>
      </w:pPr>
      <w:r>
        <w:rPr>
          <w:rFonts w:ascii="Arial" w:cs="Arial" w:eastAsia="Arial" w:hAnsi="Arial"/>
          <w:sz w:val="22"/>
          <w:szCs w:val="22"/>
        </w:rPr>
        <w:t xml:space="preserve">A.  The Company was formed as a Mississippi limited liability company by the filing of a Certificate of Formation with the Mississippi Secretary of State, which filing was approved on June 4, 2026.</w:t>
      </w:r>
    </w:p>
    <w:p>
      <w:pPr>
        <w:spacing w:after="140"/>
        <w:jc w:val="both"/>
      </w:pPr>
      <w:r>
        <w:rPr>
          <w:rFonts w:ascii="Arial" w:cs="Arial" w:eastAsia="Arial" w:hAnsi="Arial"/>
          <w:sz w:val="22"/>
          <w:szCs w:val="22"/>
        </w:rPr>
        <w:t xml:space="preserve">B.  The Company was organized to acquire, own, develop, improve, construct upon, finance, lease, license, manage, operate, and ultimately sell or exchange the real property and improvements located at 25 Woodgreen Place, Madison, Mississippi (the “Property”), together with such other real estate and related business activities as the Member may determine.</w:t>
      </w:r>
    </w:p>
    <w:p>
      <w:pPr>
        <w:spacing w:after="140"/>
        <w:jc w:val="both"/>
      </w:pPr>
      <w:r>
        <w:rPr>
          <w:rFonts w:ascii="Arial" w:cs="Arial" w:eastAsia="Arial" w:hAnsi="Arial"/>
          <w:sz w:val="22"/>
          <w:szCs w:val="22"/>
        </w:rPr>
        <w:t xml:space="preserve">C.  The Member desires that the Company be treated as a disregarded entity for federal income tax purposes and intends for this Agreement to govern the affairs of the Company and the conduct of its business.</w:t>
      </w:r>
    </w:p>
    <w:p>
      <w:pPr>
        <w:spacing w:after="140"/>
        <w:jc w:val="both"/>
      </w:pPr>
      <w:r>
        <w:rPr>
          <w:rFonts w:ascii="Arial" w:cs="Arial" w:eastAsia="Arial" w:hAnsi="Arial"/>
          <w:sz w:val="22"/>
          <w:szCs w:val="22"/>
        </w:rPr>
        <w:t xml:space="preserve">NOW, THEREFORE, the Member agrees as follows:</w:t>
      </w:r>
    </w:p>
    <w:p>
      <w:pPr>
        <w:pStyle w:val="Heading1"/>
        <w:spacing w:after="140" w:before="280"/>
      </w:pPr>
      <w:r>
        <w:rPr>
          <w:rFonts w:ascii="Arial" w:cs="Arial" w:eastAsia="Arial" w:hAnsi="Arial"/>
          <w:b/>
          <w:bCs/>
          <w:sz w:val="24"/>
          <w:szCs w:val="24"/>
        </w:rPr>
        <w:t xml:space="preserve">ARTICLE I — ORGANIZATION</w:t>
      </w:r>
    </w:p>
    <w:p>
      <w:pPr>
        <w:spacing w:after="140"/>
        <w:jc w:val="both"/>
      </w:pPr>
      <w:r>
        <w:rPr>
          <w:rFonts w:ascii="Arial" w:cs="Arial" w:eastAsia="Arial" w:hAnsi="Arial"/>
          <w:b/>
          <w:bCs/>
          <w:sz w:val="22"/>
          <w:szCs w:val="22"/>
        </w:rPr>
        <w:t xml:space="preserve">1.1 </w:t>
      </w:r>
      <w:r>
        <w:rPr>
          <w:rFonts w:ascii="Arial" w:cs="Arial" w:eastAsia="Arial" w:hAnsi="Arial"/>
          <w:b/>
          <w:bCs/>
          <w:sz w:val="22"/>
          <w:szCs w:val="22"/>
        </w:rPr>
        <w:t xml:space="preserve">Formation.  </w:t>
      </w:r>
      <w:r>
        <w:rPr>
          <w:rFonts w:ascii="Arial" w:cs="Arial" w:eastAsia="Arial" w:hAnsi="Arial"/>
          <w:sz w:val="22"/>
          <w:szCs w:val="22"/>
        </w:rPr>
        <w:t xml:space="preserve">The Company has been organized as a Mississippi limited liability company under and pursuant to the Act. The rights and obligations of the Member and the affairs of the Company shall be governed by this Agreement and the Act. To the extent this Agreement is inconsistent with any non-mandatory provision of the Act, this Agreement shall control.</w:t>
      </w:r>
    </w:p>
    <w:p>
      <w:pPr>
        <w:spacing w:after="140"/>
        <w:jc w:val="both"/>
      </w:pPr>
      <w:r>
        <w:rPr>
          <w:rFonts w:ascii="Arial" w:cs="Arial" w:eastAsia="Arial" w:hAnsi="Arial"/>
          <w:b/>
          <w:bCs/>
          <w:sz w:val="22"/>
          <w:szCs w:val="22"/>
        </w:rPr>
        <w:t xml:space="preserve">1.2 </w:t>
      </w:r>
      <w:r>
        <w:rPr>
          <w:rFonts w:ascii="Arial" w:cs="Arial" w:eastAsia="Arial" w:hAnsi="Arial"/>
          <w:b/>
          <w:bCs/>
          <w:sz w:val="22"/>
          <w:szCs w:val="22"/>
        </w:rPr>
        <w:t xml:space="preserve">Name.  </w:t>
      </w:r>
      <w:r>
        <w:rPr>
          <w:rFonts w:ascii="Arial" w:cs="Arial" w:eastAsia="Arial" w:hAnsi="Arial"/>
          <w:sz w:val="22"/>
          <w:szCs w:val="22"/>
        </w:rPr>
        <w:t xml:space="preserve">The name of the Company is 25 Woodgreen LLC. The Company may conduct business under that name or any other name permitted by law that the Member selects.</w:t>
      </w:r>
    </w:p>
    <w:p>
      <w:pPr>
        <w:spacing w:after="140"/>
        <w:jc w:val="both"/>
      </w:pPr>
      <w:r>
        <w:rPr>
          <w:rFonts w:ascii="Arial" w:cs="Arial" w:eastAsia="Arial" w:hAnsi="Arial"/>
          <w:b/>
          <w:bCs/>
          <w:sz w:val="22"/>
          <w:szCs w:val="22"/>
        </w:rPr>
        <w:t xml:space="preserve">1.3 </w:t>
      </w:r>
      <w:r>
        <w:rPr>
          <w:rFonts w:ascii="Arial" w:cs="Arial" w:eastAsia="Arial" w:hAnsi="Arial"/>
          <w:b/>
          <w:bCs/>
          <w:sz w:val="22"/>
          <w:szCs w:val="22"/>
        </w:rPr>
        <w:t xml:space="preserve">Principal Office.  </w:t>
      </w:r>
      <w:r>
        <w:rPr>
          <w:rFonts w:ascii="Arial" w:cs="Arial" w:eastAsia="Arial" w:hAnsi="Arial"/>
          <w:sz w:val="22"/>
          <w:szCs w:val="22"/>
        </w:rPr>
        <w:t xml:space="preserve">The principal office of the Company shall be located at 112 Langdon Drive, Madison, Mississippi 39110, or at such other place as the Member may designate from time to time.</w:t>
      </w:r>
    </w:p>
    <w:p>
      <w:pPr>
        <w:spacing w:after="140"/>
        <w:jc w:val="both"/>
      </w:pPr>
      <w:r>
        <w:rPr>
          <w:rFonts w:ascii="Arial" w:cs="Arial" w:eastAsia="Arial" w:hAnsi="Arial"/>
          <w:b/>
          <w:bCs/>
          <w:sz w:val="22"/>
          <w:szCs w:val="22"/>
        </w:rPr>
        <w:t xml:space="preserve">1.4 </w:t>
      </w:r>
      <w:r>
        <w:rPr>
          <w:rFonts w:ascii="Arial" w:cs="Arial" w:eastAsia="Arial" w:hAnsi="Arial"/>
          <w:b/>
          <w:bCs/>
          <w:sz w:val="22"/>
          <w:szCs w:val="22"/>
        </w:rPr>
        <w:t xml:space="preserve">Registered Office and Agent.  </w:t>
      </w:r>
      <w:r>
        <w:rPr>
          <w:rFonts w:ascii="Arial" w:cs="Arial" w:eastAsia="Arial" w:hAnsi="Arial"/>
          <w:sz w:val="22"/>
          <w:szCs w:val="22"/>
        </w:rPr>
        <w:t xml:space="preserve">The Company shall continuously maintain a registered office and registered agent in the State of Mississippi as required by the Act. The registered office and registered agent may be changed by the Member by filing the appropriate notice with the Mississippi Secretary of State.</w:t>
      </w:r>
    </w:p>
    <w:p>
      <w:pPr>
        <w:spacing w:after="140"/>
        <w:jc w:val="both"/>
      </w:pPr>
      <w:r>
        <w:rPr>
          <w:rFonts w:ascii="Arial" w:cs="Arial" w:eastAsia="Arial" w:hAnsi="Arial"/>
          <w:b/>
          <w:bCs/>
          <w:sz w:val="22"/>
          <w:szCs w:val="22"/>
        </w:rPr>
        <w:t xml:space="preserve">1.5 </w:t>
      </w:r>
      <w:r>
        <w:rPr>
          <w:rFonts w:ascii="Arial" w:cs="Arial" w:eastAsia="Arial" w:hAnsi="Arial"/>
          <w:b/>
          <w:bCs/>
          <w:sz w:val="22"/>
          <w:szCs w:val="22"/>
        </w:rPr>
        <w:t xml:space="preserve">Term.  </w:t>
      </w:r>
      <w:r>
        <w:rPr>
          <w:rFonts w:ascii="Arial" w:cs="Arial" w:eastAsia="Arial" w:hAnsi="Arial"/>
          <w:sz w:val="22"/>
          <w:szCs w:val="22"/>
        </w:rPr>
        <w:t xml:space="preserve">The Company commenced on the date its Certificate of Formation was filed and shall continue perpetually unless dissolved in accordance with this Agreement or the Act.</w:t>
      </w:r>
    </w:p>
    <w:p>
      <w:pPr>
        <w:pStyle w:val="Heading1"/>
        <w:spacing w:after="140" w:before="280"/>
      </w:pPr>
      <w:r>
        <w:rPr>
          <w:rFonts w:ascii="Arial" w:cs="Arial" w:eastAsia="Arial" w:hAnsi="Arial"/>
          <w:b/>
          <w:bCs/>
          <w:sz w:val="24"/>
          <w:szCs w:val="24"/>
        </w:rPr>
        <w:t xml:space="preserve">ARTICLE II — PURPOSE AND POWERS</w:t>
      </w:r>
    </w:p>
    <w:p>
      <w:pPr>
        <w:spacing w:after="140"/>
        <w:jc w:val="both"/>
      </w:pPr>
      <w:r>
        <w:rPr>
          <w:rFonts w:ascii="Arial" w:cs="Arial" w:eastAsia="Arial" w:hAnsi="Arial"/>
          <w:b/>
          <w:bCs/>
          <w:sz w:val="22"/>
          <w:szCs w:val="22"/>
        </w:rPr>
        <w:t xml:space="preserve">2.1 </w:t>
      </w:r>
      <w:r>
        <w:rPr>
          <w:rFonts w:ascii="Arial" w:cs="Arial" w:eastAsia="Arial" w:hAnsi="Arial"/>
          <w:b/>
          <w:bCs/>
          <w:sz w:val="22"/>
          <w:szCs w:val="22"/>
        </w:rPr>
        <w:t xml:space="preserve">Purpose.  </w:t>
      </w:r>
      <w:r>
        <w:rPr>
          <w:rFonts w:ascii="Arial" w:cs="Arial" w:eastAsia="Arial" w:hAnsi="Arial"/>
          <w:sz w:val="22"/>
          <w:szCs w:val="22"/>
        </w:rPr>
        <w:t xml:space="preserve">The purpose of the Company is to engage in any lawful act or activity for which a limited liability company may be organized under the Act, including, without limitation, to acquire, own, hold, develop, improve, construct upon, renovate, finance, refinance, lease, license, manage, operate, maintain, and ultimately sell, exchange, or otherwise dispose of the Property and other real and personal property, and to engage in all activities incidental or related thereto.</w:t>
      </w:r>
    </w:p>
    <w:p>
      <w:pPr>
        <w:spacing w:after="140"/>
        <w:jc w:val="both"/>
      </w:pPr>
      <w:r>
        <w:rPr>
          <w:rFonts w:ascii="Arial" w:cs="Arial" w:eastAsia="Arial" w:hAnsi="Arial"/>
          <w:sz w:val="22"/>
          <w:szCs w:val="22"/>
        </w:rPr>
        <w:t xml:space="preserve">Without limiting the foregoing, the Company is expressly authorized to:</w:t>
      </w:r>
    </w:p>
    <w:p>
      <w:pPr>
        <w:spacing w:after="100"/>
        <w:ind w:left="720" w:hanging="360"/>
        <w:jc w:val="both"/>
      </w:pPr>
      <w:r>
        <w:rPr>
          <w:rFonts w:ascii="Arial" w:cs="Arial" w:eastAsia="Arial" w:hAnsi="Arial"/>
          <w:sz w:val="22"/>
          <w:szCs w:val="22"/>
        </w:rPr>
        <w:t xml:space="preserve">(a)  </w:t>
      </w:r>
      <w:r>
        <w:rPr>
          <w:rFonts w:ascii="Arial" w:cs="Arial" w:eastAsia="Arial" w:hAnsi="Arial"/>
          <w:sz w:val="22"/>
          <w:szCs w:val="22"/>
        </w:rPr>
        <w:t xml:space="preserve">purchase, own, and hold the Property and any other real property the Member designates;</w:t>
      </w:r>
    </w:p>
    <w:p>
      <w:pPr>
        <w:spacing w:after="100"/>
        <w:ind w:left="720" w:hanging="360"/>
        <w:jc w:val="both"/>
      </w:pPr>
      <w:r>
        <w:rPr>
          <w:rFonts w:ascii="Arial" w:cs="Arial" w:eastAsia="Arial" w:hAnsi="Arial"/>
          <w:sz w:val="22"/>
          <w:szCs w:val="22"/>
        </w:rPr>
        <w:t xml:space="preserve">(b)  </w:t>
      </w:r>
      <w:r>
        <w:rPr>
          <w:rFonts w:ascii="Arial" w:cs="Arial" w:eastAsia="Arial" w:hAnsi="Arial"/>
          <w:sz w:val="22"/>
          <w:szCs w:val="22"/>
        </w:rPr>
        <w:t xml:space="preserve">construct, develop, renovate, and improve buildings and improvements on the Property, and enter into contracts with architects, engineers, contractors, and vendors for that purpose;</w:t>
      </w:r>
    </w:p>
    <w:p>
      <w:pPr>
        <w:spacing w:after="100"/>
        <w:ind w:left="720" w:hanging="360"/>
        <w:jc w:val="both"/>
      </w:pPr>
      <w:r>
        <w:rPr>
          <w:rFonts w:ascii="Arial" w:cs="Arial" w:eastAsia="Arial" w:hAnsi="Arial"/>
          <w:sz w:val="22"/>
          <w:szCs w:val="22"/>
        </w:rPr>
        <w:t xml:space="preserve">(c)  </w:t>
      </w:r>
      <w:r>
        <w:rPr>
          <w:rFonts w:ascii="Arial" w:cs="Arial" w:eastAsia="Arial" w:hAnsi="Arial"/>
          <w:sz w:val="22"/>
          <w:szCs w:val="22"/>
        </w:rPr>
        <w:t xml:space="preserve">lease, sublease, license, and grant occupancy and use rights in all or any portion of the Property to tenants, licensees, and users, including under coworking, executive-suite, membership, and net-lease arrangements;</w:t>
      </w:r>
    </w:p>
    <w:p>
      <w:pPr>
        <w:spacing w:after="100"/>
        <w:ind w:left="720" w:hanging="360"/>
        <w:jc w:val="both"/>
      </w:pPr>
      <w:r>
        <w:rPr>
          <w:rFonts w:ascii="Arial" w:cs="Arial" w:eastAsia="Arial" w:hAnsi="Arial"/>
          <w:sz w:val="22"/>
          <w:szCs w:val="22"/>
        </w:rPr>
        <w:t xml:space="preserve">(d)  </w:t>
      </w:r>
      <w:r>
        <w:rPr>
          <w:rFonts w:ascii="Arial" w:cs="Arial" w:eastAsia="Arial" w:hAnsi="Arial"/>
          <w:sz w:val="22"/>
          <w:szCs w:val="22"/>
        </w:rPr>
        <w:t xml:space="preserve">borrow money and obtain credit, and in connection therewith issue, execute, and deliver promissory notes, loan agreements, mortgages, deeds of trust, security agreements, assignments of leases and rents, guaranties, and other instruments encumbering the Property and other Company assets;</w:t>
      </w:r>
    </w:p>
    <w:p>
      <w:pPr>
        <w:spacing w:after="100"/>
        <w:ind w:left="720" w:hanging="360"/>
        <w:jc w:val="both"/>
      </w:pPr>
      <w:r>
        <w:rPr>
          <w:rFonts w:ascii="Arial" w:cs="Arial" w:eastAsia="Arial" w:hAnsi="Arial"/>
          <w:sz w:val="22"/>
          <w:szCs w:val="22"/>
        </w:rPr>
        <w:t xml:space="preserve">(e)  </w:t>
      </w:r>
      <w:r>
        <w:rPr>
          <w:rFonts w:ascii="Arial" w:cs="Arial" w:eastAsia="Arial" w:hAnsi="Arial"/>
          <w:sz w:val="22"/>
          <w:szCs w:val="22"/>
        </w:rPr>
        <w:t xml:space="preserve">sell, exchange, transfer, or otherwise dispose of the Property and other Company assets, including by means of a like-kind exchange under Section 1031 of the Internal Revenue Code of 1986, as amended (the “Code”); and</w:t>
      </w:r>
    </w:p>
    <w:p>
      <w:pPr>
        <w:spacing w:after="100"/>
        <w:ind w:left="720" w:hanging="360"/>
        <w:jc w:val="both"/>
      </w:pPr>
      <w:r>
        <w:rPr>
          <w:rFonts w:ascii="Arial" w:cs="Arial" w:eastAsia="Arial" w:hAnsi="Arial"/>
          <w:sz w:val="22"/>
          <w:szCs w:val="22"/>
        </w:rPr>
        <w:t xml:space="preserve">(f)  </w:t>
      </w:r>
      <w:r>
        <w:rPr>
          <w:rFonts w:ascii="Arial" w:cs="Arial" w:eastAsia="Arial" w:hAnsi="Arial"/>
          <w:sz w:val="22"/>
          <w:szCs w:val="22"/>
        </w:rPr>
        <w:t xml:space="preserve">do all other things necessary, convenient, or incidental to carrying out the business of the Company.</w:t>
      </w:r>
    </w:p>
    <w:p>
      <w:pPr>
        <w:spacing w:after="140"/>
        <w:jc w:val="both"/>
      </w:pPr>
      <w:r>
        <w:rPr>
          <w:rFonts w:ascii="Arial" w:cs="Arial" w:eastAsia="Arial" w:hAnsi="Arial"/>
          <w:b/>
          <w:bCs/>
          <w:sz w:val="22"/>
          <w:szCs w:val="22"/>
        </w:rPr>
        <w:t xml:space="preserve">2.2 </w:t>
      </w:r>
      <w:r>
        <w:rPr>
          <w:rFonts w:ascii="Arial" w:cs="Arial" w:eastAsia="Arial" w:hAnsi="Arial"/>
          <w:b/>
          <w:bCs/>
          <w:sz w:val="22"/>
          <w:szCs w:val="22"/>
        </w:rPr>
        <w:t xml:space="preserve">Powers.  </w:t>
      </w:r>
      <w:r>
        <w:rPr>
          <w:rFonts w:ascii="Arial" w:cs="Arial" w:eastAsia="Arial" w:hAnsi="Arial"/>
          <w:sz w:val="22"/>
          <w:szCs w:val="22"/>
        </w:rPr>
        <w:t xml:space="preserve">The Company shall have and may exercise all powers and privileges granted to limited liability companies under the Act, together with any powers incidental thereto, so far as those powers are necessary or convenient to the conduct, promotion, or attainment of the Company’s business and purposes.</w:t>
      </w:r>
    </w:p>
    <w:p>
      <w:pPr>
        <w:pStyle w:val="Heading1"/>
        <w:spacing w:after="140" w:before="280"/>
      </w:pPr>
      <w:r>
        <w:rPr>
          <w:rFonts w:ascii="Arial" w:cs="Arial" w:eastAsia="Arial" w:hAnsi="Arial"/>
          <w:b/>
          <w:bCs/>
          <w:sz w:val="24"/>
          <w:szCs w:val="24"/>
        </w:rPr>
        <w:t xml:space="preserve">ARTICLE III — THE MEMBER</w:t>
      </w:r>
    </w:p>
    <w:p>
      <w:pPr>
        <w:spacing w:after="140"/>
        <w:jc w:val="both"/>
      </w:pPr>
      <w:r>
        <w:rPr>
          <w:rFonts w:ascii="Arial" w:cs="Arial" w:eastAsia="Arial" w:hAnsi="Arial"/>
          <w:b/>
          <w:bCs/>
          <w:sz w:val="22"/>
          <w:szCs w:val="22"/>
        </w:rPr>
        <w:t xml:space="preserve">3.1 </w:t>
      </w:r>
      <w:r>
        <w:rPr>
          <w:rFonts w:ascii="Arial" w:cs="Arial" w:eastAsia="Arial" w:hAnsi="Arial"/>
          <w:b/>
          <w:bCs/>
          <w:sz w:val="22"/>
          <w:szCs w:val="22"/>
        </w:rPr>
        <w:t xml:space="preserve">Sole Member.  </w:t>
      </w:r>
      <w:r>
        <w:rPr>
          <w:rFonts w:ascii="Arial" w:cs="Arial" w:eastAsia="Arial" w:hAnsi="Arial"/>
          <w:sz w:val="22"/>
          <w:szCs w:val="22"/>
        </w:rPr>
        <w:t xml:space="preserve">Tyler Raborn is the sole member of the Company and owns one hundred percent (100%) of the membership interests in the Company. The name and address of the Member and the Member’s percentage interest are set forth on Schedule A attached hereto.</w:t>
      </w:r>
    </w:p>
    <w:p>
      <w:pPr>
        <w:spacing w:after="140"/>
        <w:jc w:val="both"/>
      </w:pPr>
      <w:r>
        <w:rPr>
          <w:rFonts w:ascii="Arial" w:cs="Arial" w:eastAsia="Arial" w:hAnsi="Arial"/>
          <w:b/>
          <w:bCs/>
          <w:sz w:val="22"/>
          <w:szCs w:val="22"/>
        </w:rPr>
        <w:t xml:space="preserve">3.2 </w:t>
      </w:r>
      <w:r>
        <w:rPr>
          <w:rFonts w:ascii="Arial" w:cs="Arial" w:eastAsia="Arial" w:hAnsi="Arial"/>
          <w:b/>
          <w:bCs/>
          <w:sz w:val="22"/>
          <w:szCs w:val="22"/>
        </w:rPr>
        <w:t xml:space="preserve">Limited Liability.  </w:t>
      </w:r>
      <w:r>
        <w:rPr>
          <w:rFonts w:ascii="Arial" w:cs="Arial" w:eastAsia="Arial" w:hAnsi="Arial"/>
          <w:sz w:val="22"/>
          <w:szCs w:val="22"/>
        </w:rPr>
        <w:t xml:space="preserve">Except as otherwise required by the Act, the Member shall not be personally liable for any debt, obligation, or liability of the Company, whether arising in contract, tort, or otherwise, solely by reason of being a member of the Company. The failure of the Company to observe formalities relating to the exercise of its powers or the management of its business shall not be grounds for imposing personal liability on the Member for the Company’s liabilities.</w:t>
      </w:r>
    </w:p>
    <w:p>
      <w:pPr>
        <w:spacing w:after="140"/>
        <w:jc w:val="both"/>
      </w:pPr>
      <w:r>
        <w:rPr>
          <w:rFonts w:ascii="Arial" w:cs="Arial" w:eastAsia="Arial" w:hAnsi="Arial"/>
          <w:b/>
          <w:bCs/>
          <w:sz w:val="22"/>
          <w:szCs w:val="22"/>
        </w:rPr>
        <w:t xml:space="preserve">3.3 </w:t>
      </w:r>
      <w:r>
        <w:rPr>
          <w:rFonts w:ascii="Arial" w:cs="Arial" w:eastAsia="Arial" w:hAnsi="Arial"/>
          <w:b/>
          <w:bCs/>
          <w:sz w:val="22"/>
          <w:szCs w:val="22"/>
        </w:rPr>
        <w:t xml:space="preserve">No Personal Liability for Distributions.  </w:t>
      </w:r>
      <w:r>
        <w:rPr>
          <w:rFonts w:ascii="Arial" w:cs="Arial" w:eastAsia="Arial" w:hAnsi="Arial"/>
          <w:sz w:val="22"/>
          <w:szCs w:val="22"/>
        </w:rPr>
        <w:t xml:space="preserve">The Member shall have no obligation to restore any deficit or to return any distribution except to the extent required by the Act.</w:t>
      </w:r>
    </w:p>
    <w:p>
      <w:pPr>
        <w:pStyle w:val="Heading1"/>
        <w:spacing w:after="140" w:before="280"/>
      </w:pPr>
      <w:r>
        <w:rPr>
          <w:rFonts w:ascii="Arial" w:cs="Arial" w:eastAsia="Arial" w:hAnsi="Arial"/>
          <w:b/>
          <w:bCs/>
          <w:sz w:val="24"/>
          <w:szCs w:val="24"/>
        </w:rPr>
        <w:t xml:space="preserve">ARTICLE IV — CAPITAL CONTRIBUTIONS</w:t>
      </w:r>
    </w:p>
    <w:p>
      <w:pPr>
        <w:spacing w:after="140"/>
        <w:jc w:val="both"/>
      </w:pPr>
      <w:r>
        <w:rPr>
          <w:rFonts w:ascii="Arial" w:cs="Arial" w:eastAsia="Arial" w:hAnsi="Arial"/>
          <w:b/>
          <w:bCs/>
          <w:sz w:val="22"/>
          <w:szCs w:val="22"/>
        </w:rPr>
        <w:t xml:space="preserve">4.1 </w:t>
      </w:r>
      <w:r>
        <w:rPr>
          <w:rFonts w:ascii="Arial" w:cs="Arial" w:eastAsia="Arial" w:hAnsi="Arial"/>
          <w:b/>
          <w:bCs/>
          <w:sz w:val="22"/>
          <w:szCs w:val="22"/>
        </w:rPr>
        <w:t xml:space="preserve">Initial Capital Contribution.  </w:t>
      </w:r>
      <w:r>
        <w:rPr>
          <w:rFonts w:ascii="Arial" w:cs="Arial" w:eastAsia="Arial" w:hAnsi="Arial"/>
          <w:sz w:val="22"/>
          <w:szCs w:val="22"/>
        </w:rPr>
        <w:t xml:space="preserve">The Member has contributed, or shall contribute, cash and/or property to the Company as reflected in the books and records of the Company.</w:t>
      </w:r>
    </w:p>
    <w:p>
      <w:pPr>
        <w:spacing w:after="140"/>
        <w:jc w:val="both"/>
      </w:pPr>
      <w:r>
        <w:rPr>
          <w:rFonts w:ascii="Arial" w:cs="Arial" w:eastAsia="Arial" w:hAnsi="Arial"/>
          <w:b/>
          <w:bCs/>
          <w:sz w:val="22"/>
          <w:szCs w:val="22"/>
        </w:rPr>
        <w:t xml:space="preserve">4.2 </w:t>
      </w:r>
      <w:r>
        <w:rPr>
          <w:rFonts w:ascii="Arial" w:cs="Arial" w:eastAsia="Arial" w:hAnsi="Arial"/>
          <w:b/>
          <w:bCs/>
          <w:sz w:val="22"/>
          <w:szCs w:val="22"/>
        </w:rPr>
        <w:t xml:space="preserve">Additional Contributions.  </w:t>
      </w:r>
      <w:r>
        <w:rPr>
          <w:rFonts w:ascii="Arial" w:cs="Arial" w:eastAsia="Arial" w:hAnsi="Arial"/>
          <w:sz w:val="22"/>
          <w:szCs w:val="22"/>
        </w:rPr>
        <w:t xml:space="preserve">The Member may, but is not obligated to, make additional capital contributions to the Company at any time and in any amount the Member determines, including to fund acquisition costs, construction and improvement costs, debt service, operating shortfalls, or reserves.</w:t>
      </w:r>
    </w:p>
    <w:p>
      <w:pPr>
        <w:spacing w:after="140"/>
        <w:jc w:val="both"/>
      </w:pPr>
      <w:r>
        <w:rPr>
          <w:rFonts w:ascii="Arial" w:cs="Arial" w:eastAsia="Arial" w:hAnsi="Arial"/>
          <w:b/>
          <w:bCs/>
          <w:sz w:val="22"/>
          <w:szCs w:val="22"/>
        </w:rPr>
        <w:t xml:space="preserve">4.3 </w:t>
      </w:r>
      <w:r>
        <w:rPr>
          <w:rFonts w:ascii="Arial" w:cs="Arial" w:eastAsia="Arial" w:hAnsi="Arial"/>
          <w:b/>
          <w:bCs/>
          <w:sz w:val="22"/>
          <w:szCs w:val="22"/>
        </w:rPr>
        <w:t xml:space="preserve">Capital Account; Loans.  </w:t>
      </w:r>
      <w:r>
        <w:rPr>
          <w:rFonts w:ascii="Arial" w:cs="Arial" w:eastAsia="Arial" w:hAnsi="Arial"/>
          <w:sz w:val="22"/>
          <w:szCs w:val="22"/>
        </w:rPr>
        <w:t xml:space="preserve">The Company shall maintain a capital account for the Member in accordance with sound accounting practice. The Member may lend money to the Company on commercially reasonable terms, and any such loan shall be an obligation of the Company and shall not be treated as a capital contribution.</w:t>
      </w:r>
    </w:p>
    <w:p>
      <w:pPr>
        <w:spacing w:after="140"/>
        <w:jc w:val="both"/>
      </w:pPr>
      <w:r>
        <w:rPr>
          <w:rFonts w:ascii="Arial" w:cs="Arial" w:eastAsia="Arial" w:hAnsi="Arial"/>
          <w:b/>
          <w:bCs/>
          <w:sz w:val="22"/>
          <w:szCs w:val="22"/>
        </w:rPr>
        <w:t xml:space="preserve">4.4 </w:t>
      </w:r>
      <w:r>
        <w:rPr>
          <w:rFonts w:ascii="Arial" w:cs="Arial" w:eastAsia="Arial" w:hAnsi="Arial"/>
          <w:b/>
          <w:bCs/>
          <w:sz w:val="22"/>
          <w:szCs w:val="22"/>
        </w:rPr>
        <w:t xml:space="preserve">No Interest.  </w:t>
      </w:r>
      <w:r>
        <w:rPr>
          <w:rFonts w:ascii="Arial" w:cs="Arial" w:eastAsia="Arial" w:hAnsi="Arial"/>
          <w:sz w:val="22"/>
          <w:szCs w:val="22"/>
        </w:rPr>
        <w:t xml:space="preserve">No interest shall accrue on, and the Member shall have no right to withdraw or demand return of, any capital contribution except as expressly provided in this Agreement or upon dissolution.</w:t>
      </w:r>
    </w:p>
    <w:p>
      <w:pPr>
        <w:pStyle w:val="Heading1"/>
        <w:spacing w:after="140" w:before="280"/>
      </w:pPr>
      <w:r>
        <w:rPr>
          <w:rFonts w:ascii="Arial" w:cs="Arial" w:eastAsia="Arial" w:hAnsi="Arial"/>
          <w:b/>
          <w:bCs/>
          <w:sz w:val="24"/>
          <w:szCs w:val="24"/>
        </w:rPr>
        <w:t xml:space="preserve">ARTICLE V — TAX MATTERS AND ALLOCATIONS</w:t>
      </w:r>
    </w:p>
    <w:p>
      <w:pPr>
        <w:spacing w:after="140"/>
        <w:jc w:val="both"/>
      </w:pPr>
      <w:r>
        <w:rPr>
          <w:rFonts w:ascii="Arial" w:cs="Arial" w:eastAsia="Arial" w:hAnsi="Arial"/>
          <w:b/>
          <w:bCs/>
          <w:sz w:val="22"/>
          <w:szCs w:val="22"/>
        </w:rPr>
        <w:t xml:space="preserve">5.1 </w:t>
      </w:r>
      <w:r>
        <w:rPr>
          <w:rFonts w:ascii="Arial" w:cs="Arial" w:eastAsia="Arial" w:hAnsi="Arial"/>
          <w:b/>
          <w:bCs/>
          <w:sz w:val="22"/>
          <w:szCs w:val="22"/>
        </w:rPr>
        <w:t xml:space="preserve">Disregarded Entity.  </w:t>
      </w:r>
      <w:r>
        <w:rPr>
          <w:rFonts w:ascii="Arial" w:cs="Arial" w:eastAsia="Arial" w:hAnsi="Arial"/>
          <w:sz w:val="22"/>
          <w:szCs w:val="22"/>
        </w:rPr>
        <w:t xml:space="preserve">For so long as the Company has a single member, the Company shall be treated as an entity disregarded as separate from its owner for federal and, where applicable, state income tax purposes pursuant to Treasury Regulations Section 301.7701-3. All items of income, gain, loss, deduction, and credit of the Company shall be reported directly by the Member, and the Company shall not file a separate federal income tax return so long as it remains a disregarded entity. The Company shall nonetheless be respected as a separate legal entity for liability, title, and all non-tax purposes.</w:t>
      </w:r>
    </w:p>
    <w:p>
      <w:pPr>
        <w:spacing w:after="140"/>
        <w:jc w:val="both"/>
      </w:pPr>
      <w:r>
        <w:rPr>
          <w:rFonts w:ascii="Arial" w:cs="Arial" w:eastAsia="Arial" w:hAnsi="Arial"/>
          <w:b/>
          <w:bCs/>
          <w:sz w:val="22"/>
          <w:szCs w:val="22"/>
        </w:rPr>
        <w:t xml:space="preserve">5.2 </w:t>
      </w:r>
      <w:r>
        <w:rPr>
          <w:rFonts w:ascii="Arial" w:cs="Arial" w:eastAsia="Arial" w:hAnsi="Arial"/>
          <w:b/>
          <w:bCs/>
          <w:sz w:val="22"/>
          <w:szCs w:val="22"/>
        </w:rPr>
        <w:t xml:space="preserve">Tax Elections.  </w:t>
      </w:r>
      <w:r>
        <w:rPr>
          <w:rFonts w:ascii="Arial" w:cs="Arial" w:eastAsia="Arial" w:hAnsi="Arial"/>
          <w:sz w:val="22"/>
          <w:szCs w:val="22"/>
        </w:rPr>
        <w:t xml:space="preserve">The Member shall have sole authority to make, change, or revoke any tax election available to the Company or with respect to its assets, including, without limitation, elections regarding depreciation and cost-recovery methods, the use of a cost segregation study to allocate basis among components of the Property, bonus depreciation and Section 179 expensing under the Code, capitalization and repair elections, and the Company’s entity classification under Treasury Regulations Section 301.7701-3 (including any future election to be treated as an association taxable as a corporation or as an S corporation).</w:t>
      </w:r>
    </w:p>
    <w:p>
      <w:pPr>
        <w:spacing w:after="140"/>
        <w:jc w:val="both"/>
      </w:pPr>
      <w:r>
        <w:rPr>
          <w:rFonts w:ascii="Arial" w:cs="Arial" w:eastAsia="Arial" w:hAnsi="Arial"/>
          <w:b/>
          <w:bCs/>
          <w:sz w:val="22"/>
          <w:szCs w:val="22"/>
        </w:rPr>
        <w:t xml:space="preserve">5.3 </w:t>
      </w:r>
      <w:r>
        <w:rPr>
          <w:rFonts w:ascii="Arial" w:cs="Arial" w:eastAsia="Arial" w:hAnsi="Arial"/>
          <w:b/>
          <w:bCs/>
          <w:sz w:val="22"/>
          <w:szCs w:val="22"/>
        </w:rPr>
        <w:t xml:space="preserve">Real Estate Professional; Material Participation.  </w:t>
      </w:r>
      <w:r>
        <w:rPr>
          <w:rFonts w:ascii="Arial" w:cs="Arial" w:eastAsia="Arial" w:hAnsi="Arial"/>
          <w:sz w:val="22"/>
          <w:szCs w:val="22"/>
        </w:rPr>
        <w:t xml:space="preserve">The parties acknowledge that the Member intends to qualify, and to be treated, as a real estate professional within the meaning of Section 469(c)(7) of the Code, and intends to materially participate in the rental and real estate activities of the Company. Nothing in this Agreement shall be construed to limit the Member’s ability to group, aggregate, or treat the Company’s rental real estate activities for purposes of Section 469 and the regulations thereunder. Because the Company is disregarded, the Member shall report the Company’s rental real estate activity directly on the Member’s individual income tax return.</w:t>
      </w:r>
    </w:p>
    <w:p>
      <w:pPr>
        <w:spacing w:after="140"/>
        <w:jc w:val="both"/>
      </w:pPr>
      <w:r>
        <w:rPr>
          <w:rFonts w:ascii="Arial" w:cs="Arial" w:eastAsia="Arial" w:hAnsi="Arial"/>
          <w:b/>
          <w:bCs/>
          <w:sz w:val="22"/>
          <w:szCs w:val="22"/>
        </w:rPr>
        <w:t xml:space="preserve">5.4 </w:t>
      </w:r>
      <w:r>
        <w:rPr>
          <w:rFonts w:ascii="Arial" w:cs="Arial" w:eastAsia="Arial" w:hAnsi="Arial"/>
          <w:b/>
          <w:bCs/>
          <w:sz w:val="22"/>
          <w:szCs w:val="22"/>
        </w:rPr>
        <w:t xml:space="preserve">Section 1031 Exchanges.  </w:t>
      </w:r>
      <w:r>
        <w:rPr>
          <w:rFonts w:ascii="Arial" w:cs="Arial" w:eastAsia="Arial" w:hAnsi="Arial"/>
          <w:sz w:val="22"/>
          <w:szCs w:val="22"/>
        </w:rPr>
        <w:t xml:space="preserve">The Member is authorized to cause the Company to acquire or dispose of real property as part of a like-kind exchange qualifying for nonrecognition of gain under Section 1031 of the Code, and to take all actions necessary to effect such an exchange, including entering into exchange agreements, engaging a qualified intermediary, assigning rights under purchase and sale agreements, and executing all related documents.</w:t>
      </w:r>
    </w:p>
    <w:p>
      <w:pPr>
        <w:spacing w:after="140"/>
        <w:jc w:val="both"/>
      </w:pPr>
      <w:r>
        <w:rPr>
          <w:rFonts w:ascii="Arial" w:cs="Arial" w:eastAsia="Arial" w:hAnsi="Arial"/>
          <w:b/>
          <w:bCs/>
          <w:sz w:val="22"/>
          <w:szCs w:val="22"/>
        </w:rPr>
        <w:t xml:space="preserve">5.5 </w:t>
      </w:r>
      <w:r>
        <w:rPr>
          <w:rFonts w:ascii="Arial" w:cs="Arial" w:eastAsia="Arial" w:hAnsi="Arial"/>
          <w:b/>
          <w:bCs/>
          <w:sz w:val="22"/>
          <w:szCs w:val="22"/>
        </w:rPr>
        <w:t xml:space="preserve">Allocations and Books.  </w:t>
      </w:r>
      <w:r>
        <w:rPr>
          <w:rFonts w:ascii="Arial" w:cs="Arial" w:eastAsia="Arial" w:hAnsi="Arial"/>
          <w:sz w:val="22"/>
          <w:szCs w:val="22"/>
        </w:rPr>
        <w:t xml:space="preserve">Because the Company is a disregarded entity, all items of Company income, gain, loss, deduction, and credit are allocated entirely to the Member. The Company shall keep its books on the method of accounting selected by the Member, and the fiscal year of the Company shall be the calendar year unless otherwise required by the Code or determined by the Member.</w:t>
      </w:r>
    </w:p>
    <w:p>
      <w:pPr>
        <w:pStyle w:val="Heading1"/>
        <w:spacing w:after="140" w:before="280"/>
      </w:pPr>
      <w:r>
        <w:rPr>
          <w:rFonts w:ascii="Arial" w:cs="Arial" w:eastAsia="Arial" w:hAnsi="Arial"/>
          <w:b/>
          <w:bCs/>
          <w:sz w:val="24"/>
          <w:szCs w:val="24"/>
        </w:rPr>
        <w:t xml:space="preserve">ARTICLE VI — DISTRIBUTIONS</w:t>
      </w:r>
    </w:p>
    <w:p>
      <w:pPr>
        <w:spacing w:after="140"/>
        <w:jc w:val="both"/>
      </w:pPr>
      <w:r>
        <w:rPr>
          <w:rFonts w:ascii="Arial" w:cs="Arial" w:eastAsia="Arial" w:hAnsi="Arial"/>
          <w:b/>
          <w:bCs/>
          <w:sz w:val="22"/>
          <w:szCs w:val="22"/>
        </w:rPr>
        <w:t xml:space="preserve">6.1 </w:t>
      </w:r>
      <w:r>
        <w:rPr>
          <w:rFonts w:ascii="Arial" w:cs="Arial" w:eastAsia="Arial" w:hAnsi="Arial"/>
          <w:b/>
          <w:bCs/>
          <w:sz w:val="22"/>
          <w:szCs w:val="22"/>
        </w:rPr>
        <w:t xml:space="preserve">Distributions.  </w:t>
      </w:r>
      <w:r>
        <w:rPr>
          <w:rFonts w:ascii="Arial" w:cs="Arial" w:eastAsia="Arial" w:hAnsi="Arial"/>
          <w:sz w:val="22"/>
          <w:szCs w:val="22"/>
        </w:rPr>
        <w:t xml:space="preserve">The Company shall make distributions of cash or other property to the Member at such times and in such amounts as the Member determines in the Member’s sole discretion, subject to the limitations of the Act and the terms of any loan or other agreement to which the Company is a party.</w:t>
      </w:r>
    </w:p>
    <w:p>
      <w:pPr>
        <w:spacing w:after="140"/>
        <w:jc w:val="both"/>
      </w:pPr>
      <w:r>
        <w:rPr>
          <w:rFonts w:ascii="Arial" w:cs="Arial" w:eastAsia="Arial" w:hAnsi="Arial"/>
          <w:b/>
          <w:bCs/>
          <w:sz w:val="22"/>
          <w:szCs w:val="22"/>
        </w:rPr>
        <w:t xml:space="preserve">6.2 </w:t>
      </w:r>
      <w:r>
        <w:rPr>
          <w:rFonts w:ascii="Arial" w:cs="Arial" w:eastAsia="Arial" w:hAnsi="Arial"/>
          <w:b/>
          <w:bCs/>
          <w:sz w:val="22"/>
          <w:szCs w:val="22"/>
        </w:rPr>
        <w:t xml:space="preserve">Limitation.  </w:t>
      </w:r>
      <w:r>
        <w:rPr>
          <w:rFonts w:ascii="Arial" w:cs="Arial" w:eastAsia="Arial" w:hAnsi="Arial"/>
          <w:sz w:val="22"/>
          <w:szCs w:val="22"/>
        </w:rPr>
        <w:t xml:space="preserve">No distribution shall be made if, after giving effect to the distribution, the Company would not be able to pay its debts as they become due in the ordinary course of business or the Company’s total liabilities would exceed the fair value of its assets, as provided in the Act.</w:t>
      </w:r>
    </w:p>
    <w:p>
      <w:pPr>
        <w:pStyle w:val="Heading1"/>
        <w:spacing w:after="140" w:before="280"/>
      </w:pPr>
      <w:r>
        <w:rPr>
          <w:rFonts w:ascii="Arial" w:cs="Arial" w:eastAsia="Arial" w:hAnsi="Arial"/>
          <w:b/>
          <w:bCs/>
          <w:sz w:val="24"/>
          <w:szCs w:val="24"/>
        </w:rPr>
        <w:t xml:space="preserve">ARTICLE VII — MANAGEMENT</w:t>
      </w:r>
    </w:p>
    <w:p>
      <w:pPr>
        <w:spacing w:after="140"/>
        <w:jc w:val="both"/>
      </w:pPr>
      <w:r>
        <w:rPr>
          <w:rFonts w:ascii="Arial" w:cs="Arial" w:eastAsia="Arial" w:hAnsi="Arial"/>
          <w:b/>
          <w:bCs/>
          <w:sz w:val="22"/>
          <w:szCs w:val="22"/>
        </w:rPr>
        <w:t xml:space="preserve">7.1 </w:t>
      </w:r>
      <w:r>
        <w:rPr>
          <w:rFonts w:ascii="Arial" w:cs="Arial" w:eastAsia="Arial" w:hAnsi="Arial"/>
          <w:b/>
          <w:bCs/>
          <w:sz w:val="22"/>
          <w:szCs w:val="22"/>
        </w:rPr>
        <w:t xml:space="preserve">Management by the Member.  </w:t>
      </w:r>
      <w:r>
        <w:rPr>
          <w:rFonts w:ascii="Arial" w:cs="Arial" w:eastAsia="Arial" w:hAnsi="Arial"/>
          <w:sz w:val="22"/>
          <w:szCs w:val="22"/>
        </w:rPr>
        <w:t xml:space="preserve">The Company shall be managed by its Member. The Member shall have full, exclusive, and complete authority, power, and discretion to manage and control the business, property, and affairs of the Company, to make all decisions regarding those matters, and to perform any and all other acts customary or incidental to the management of the Company’s business.</w:t>
      </w:r>
    </w:p>
    <w:p>
      <w:pPr>
        <w:spacing w:after="140"/>
        <w:jc w:val="both"/>
      </w:pPr>
      <w:r>
        <w:rPr>
          <w:rFonts w:ascii="Arial" w:cs="Arial" w:eastAsia="Arial" w:hAnsi="Arial"/>
          <w:b/>
          <w:bCs/>
          <w:sz w:val="22"/>
          <w:szCs w:val="22"/>
        </w:rPr>
        <w:t xml:space="preserve">7.2 </w:t>
      </w:r>
      <w:r>
        <w:rPr>
          <w:rFonts w:ascii="Arial" w:cs="Arial" w:eastAsia="Arial" w:hAnsi="Arial"/>
          <w:b/>
          <w:bCs/>
          <w:sz w:val="22"/>
          <w:szCs w:val="22"/>
        </w:rPr>
        <w:t xml:space="preserve">Authority of the Member.  </w:t>
      </w:r>
      <w:r>
        <w:rPr>
          <w:rFonts w:ascii="Arial" w:cs="Arial" w:eastAsia="Arial" w:hAnsi="Arial"/>
          <w:sz w:val="22"/>
          <w:szCs w:val="22"/>
        </w:rPr>
        <w:t xml:space="preserve">Without limiting the generality of the foregoing and acting alone, the Member is authorized, on behalf of and in the name of the Company, to:</w:t>
      </w:r>
    </w:p>
    <w:p>
      <w:pPr>
        <w:spacing w:after="100"/>
        <w:ind w:left="720" w:hanging="360"/>
        <w:jc w:val="both"/>
      </w:pPr>
      <w:r>
        <w:rPr>
          <w:rFonts w:ascii="Arial" w:cs="Arial" w:eastAsia="Arial" w:hAnsi="Arial"/>
          <w:sz w:val="22"/>
          <w:szCs w:val="22"/>
        </w:rPr>
        <w:t xml:space="preserve">(a)  </w:t>
      </w:r>
      <w:r>
        <w:rPr>
          <w:rFonts w:ascii="Arial" w:cs="Arial" w:eastAsia="Arial" w:hAnsi="Arial"/>
          <w:sz w:val="22"/>
          <w:szCs w:val="22"/>
        </w:rPr>
        <w:t xml:space="preserve">acquire, hold, improve, construct upon, lease, license, manage, and dispose of the Property and other Company assets;</w:t>
      </w:r>
    </w:p>
    <w:p>
      <w:pPr>
        <w:spacing w:after="100"/>
        <w:ind w:left="720" w:hanging="360"/>
        <w:jc w:val="both"/>
      </w:pPr>
      <w:r>
        <w:rPr>
          <w:rFonts w:ascii="Arial" w:cs="Arial" w:eastAsia="Arial" w:hAnsi="Arial"/>
          <w:sz w:val="22"/>
          <w:szCs w:val="22"/>
        </w:rPr>
        <w:t xml:space="preserve">(b)  </w:t>
      </w:r>
      <w:r>
        <w:rPr>
          <w:rFonts w:ascii="Arial" w:cs="Arial" w:eastAsia="Arial" w:hAnsi="Arial"/>
          <w:sz w:val="22"/>
          <w:szCs w:val="22"/>
        </w:rPr>
        <w:t xml:space="preserve">negotiate, execute, and deliver loan agreements, promissory notes, mortgages, deeds of trust, security agreements, assignments of leases and rents, guaranties, and any other documents required to borrow money from, and grant liens to, any lender (including Renasant Bank) and to perform the Company’s obligations thereunder;</w:t>
      </w:r>
    </w:p>
    <w:p>
      <w:pPr>
        <w:spacing w:after="100"/>
        <w:ind w:left="720" w:hanging="360"/>
        <w:jc w:val="both"/>
      </w:pPr>
      <w:r>
        <w:rPr>
          <w:rFonts w:ascii="Arial" w:cs="Arial" w:eastAsia="Arial" w:hAnsi="Arial"/>
          <w:sz w:val="22"/>
          <w:szCs w:val="22"/>
        </w:rPr>
        <w:t xml:space="preserve">(c)  </w:t>
      </w:r>
      <w:r>
        <w:rPr>
          <w:rFonts w:ascii="Arial" w:cs="Arial" w:eastAsia="Arial" w:hAnsi="Arial"/>
          <w:sz w:val="22"/>
          <w:szCs w:val="22"/>
        </w:rPr>
        <w:t xml:space="preserve">enter into, amend, and terminate leases, license agreements, management agreements, construction and design contracts, and service contracts;</w:t>
      </w:r>
    </w:p>
    <w:p>
      <w:pPr>
        <w:spacing w:after="100"/>
        <w:ind w:left="720" w:hanging="360"/>
        <w:jc w:val="both"/>
      </w:pPr>
      <w:r>
        <w:rPr>
          <w:rFonts w:ascii="Arial" w:cs="Arial" w:eastAsia="Arial" w:hAnsi="Arial"/>
          <w:sz w:val="22"/>
          <w:szCs w:val="22"/>
        </w:rPr>
        <w:t xml:space="preserve">(d)  </w:t>
      </w:r>
      <w:r>
        <w:rPr>
          <w:rFonts w:ascii="Arial" w:cs="Arial" w:eastAsia="Arial" w:hAnsi="Arial"/>
          <w:sz w:val="22"/>
          <w:szCs w:val="22"/>
        </w:rPr>
        <w:t xml:space="preserve">open and maintain bank, brokerage, and operating accounts in the name of the Company and designate signatories thereon;</w:t>
      </w:r>
    </w:p>
    <w:p>
      <w:pPr>
        <w:spacing w:after="100"/>
        <w:ind w:left="720" w:hanging="360"/>
        <w:jc w:val="both"/>
      </w:pPr>
      <w:r>
        <w:rPr>
          <w:rFonts w:ascii="Arial" w:cs="Arial" w:eastAsia="Arial" w:hAnsi="Arial"/>
          <w:sz w:val="22"/>
          <w:szCs w:val="22"/>
        </w:rPr>
        <w:t xml:space="preserve">(e)  </w:t>
      </w:r>
      <w:r>
        <w:rPr>
          <w:rFonts w:ascii="Arial" w:cs="Arial" w:eastAsia="Arial" w:hAnsi="Arial"/>
          <w:sz w:val="22"/>
          <w:szCs w:val="22"/>
        </w:rPr>
        <w:t xml:space="preserve">engage attorneys, accountants, property managers, brokers, contractors, qualified intermediaries, and other agents and advisors, and to delegate authority to them; and</w:t>
      </w:r>
    </w:p>
    <w:p>
      <w:pPr>
        <w:spacing w:after="100"/>
        <w:ind w:left="720" w:hanging="360"/>
        <w:jc w:val="both"/>
      </w:pPr>
      <w:r>
        <w:rPr>
          <w:rFonts w:ascii="Arial" w:cs="Arial" w:eastAsia="Arial" w:hAnsi="Arial"/>
          <w:sz w:val="22"/>
          <w:szCs w:val="22"/>
        </w:rPr>
        <w:t xml:space="preserve">(f)  </w:t>
      </w:r>
      <w:r>
        <w:rPr>
          <w:rFonts w:ascii="Arial" w:cs="Arial" w:eastAsia="Arial" w:hAnsi="Arial"/>
          <w:sz w:val="22"/>
          <w:szCs w:val="22"/>
        </w:rPr>
        <w:t xml:space="preserve">execute, acknowledge, and deliver any and all documents and instruments, and take any and all actions, that the Member deems necessary or appropriate to carry out the business and purposes of the Company.</w:t>
      </w:r>
    </w:p>
    <w:p>
      <w:pPr>
        <w:spacing w:after="140"/>
        <w:jc w:val="both"/>
      </w:pPr>
      <w:r>
        <w:rPr>
          <w:rFonts w:ascii="Arial" w:cs="Arial" w:eastAsia="Arial" w:hAnsi="Arial"/>
          <w:b/>
          <w:bCs/>
          <w:sz w:val="22"/>
          <w:szCs w:val="22"/>
        </w:rPr>
        <w:t xml:space="preserve">7.3 </w:t>
      </w:r>
      <w:r>
        <w:rPr>
          <w:rFonts w:ascii="Arial" w:cs="Arial" w:eastAsia="Arial" w:hAnsi="Arial"/>
          <w:b/>
          <w:bCs/>
          <w:sz w:val="22"/>
          <w:szCs w:val="22"/>
        </w:rPr>
        <w:t xml:space="preserve">Authorized Signatory; Reliance by Third Parties.  </w:t>
      </w:r>
      <w:r>
        <w:rPr>
          <w:rFonts w:ascii="Arial" w:cs="Arial" w:eastAsia="Arial" w:hAnsi="Arial"/>
          <w:sz w:val="22"/>
          <w:szCs w:val="22"/>
        </w:rPr>
        <w:t xml:space="preserve">Tyler Raborn, as the sole Member and manager of the Company, is the authorized signatory of the Company and is authorized to bind the Company in all matters. Any person or entity dealing with the Company, including any lender, title company, closing agent, or escrow agent, may rely conclusively upon a certificate or signature of the Member as to the identity and authority of the Member, the existence or nonexistence of any fact, and the authorization of any transaction, and shall be entitled to deal with the Member as if the Member were the sole and absolute owner of the Company and its assets. No third party shall be required to inquire into the authority of the Member to bind the Company.</w:t>
      </w:r>
    </w:p>
    <w:p>
      <w:pPr>
        <w:spacing w:after="140"/>
        <w:jc w:val="both"/>
      </w:pPr>
      <w:r>
        <w:rPr>
          <w:rFonts w:ascii="Arial" w:cs="Arial" w:eastAsia="Arial" w:hAnsi="Arial"/>
          <w:b/>
          <w:bCs/>
          <w:sz w:val="22"/>
          <w:szCs w:val="22"/>
        </w:rPr>
        <w:t xml:space="preserve">7.4 </w:t>
      </w:r>
      <w:r>
        <w:rPr>
          <w:rFonts w:ascii="Arial" w:cs="Arial" w:eastAsia="Arial" w:hAnsi="Arial"/>
          <w:b/>
          <w:bCs/>
          <w:sz w:val="22"/>
          <w:szCs w:val="22"/>
        </w:rPr>
        <w:t xml:space="preserve">No Compensation Required; Reimbursement.  </w:t>
      </w:r>
      <w:r>
        <w:rPr>
          <w:rFonts w:ascii="Arial" w:cs="Arial" w:eastAsia="Arial" w:hAnsi="Arial"/>
          <w:sz w:val="22"/>
          <w:szCs w:val="22"/>
        </w:rPr>
        <w:t xml:space="preserve">The Member is not required to be compensated for services but may, in the Member’s discretion, receive reasonable compensation and shall be reimbursed for reasonable out-of-pocket expenses incurred on behalf of the Company.</w:t>
      </w:r>
    </w:p>
    <w:p>
      <w:pPr>
        <w:pStyle w:val="Heading1"/>
        <w:spacing w:after="140" w:before="280"/>
      </w:pPr>
      <w:r>
        <w:rPr>
          <w:rFonts w:ascii="Arial" w:cs="Arial" w:eastAsia="Arial" w:hAnsi="Arial"/>
          <w:b/>
          <w:bCs/>
          <w:sz w:val="24"/>
          <w:szCs w:val="24"/>
        </w:rPr>
        <w:t xml:space="preserve">ARTICLE VIII — EXCULPATION AND INDEMNIFICATION</w:t>
      </w:r>
    </w:p>
    <w:p>
      <w:pPr>
        <w:spacing w:after="140"/>
        <w:jc w:val="both"/>
      </w:pPr>
      <w:r>
        <w:rPr>
          <w:rFonts w:ascii="Arial" w:cs="Arial" w:eastAsia="Arial" w:hAnsi="Arial"/>
          <w:b/>
          <w:bCs/>
          <w:sz w:val="22"/>
          <w:szCs w:val="22"/>
        </w:rPr>
        <w:t xml:space="preserve">8.1 </w:t>
      </w:r>
      <w:r>
        <w:rPr>
          <w:rFonts w:ascii="Arial" w:cs="Arial" w:eastAsia="Arial" w:hAnsi="Arial"/>
          <w:b/>
          <w:bCs/>
          <w:sz w:val="22"/>
          <w:szCs w:val="22"/>
        </w:rPr>
        <w:t xml:space="preserve">Exculpation.  </w:t>
      </w:r>
      <w:r>
        <w:rPr>
          <w:rFonts w:ascii="Arial" w:cs="Arial" w:eastAsia="Arial" w:hAnsi="Arial"/>
          <w:sz w:val="22"/>
          <w:szCs w:val="22"/>
        </w:rPr>
        <w:t xml:space="preserve">The Member shall not be liable to the Company for any act or omission performed or omitted in good faith on behalf of the Company and reasonably believed to be within the scope of the authority conferred by this Agreement, except for acts constituting fraud, willful misconduct, or a knowing violation of law.</w:t>
      </w:r>
    </w:p>
    <w:p>
      <w:pPr>
        <w:spacing w:after="140"/>
        <w:jc w:val="both"/>
      </w:pPr>
      <w:r>
        <w:rPr>
          <w:rFonts w:ascii="Arial" w:cs="Arial" w:eastAsia="Arial" w:hAnsi="Arial"/>
          <w:b/>
          <w:bCs/>
          <w:sz w:val="22"/>
          <w:szCs w:val="22"/>
        </w:rPr>
        <w:t xml:space="preserve">8.2 </w:t>
      </w:r>
      <w:r>
        <w:rPr>
          <w:rFonts w:ascii="Arial" w:cs="Arial" w:eastAsia="Arial" w:hAnsi="Arial"/>
          <w:b/>
          <w:bCs/>
          <w:sz w:val="22"/>
          <w:szCs w:val="22"/>
        </w:rPr>
        <w:t xml:space="preserve">Indemnification.  </w:t>
      </w:r>
      <w:r>
        <w:rPr>
          <w:rFonts w:ascii="Arial" w:cs="Arial" w:eastAsia="Arial" w:hAnsi="Arial"/>
          <w:sz w:val="22"/>
          <w:szCs w:val="22"/>
        </w:rPr>
        <w:t xml:space="preserve">To the fullest extent permitted by the Act, the Company shall indemnify and hold harmless the Member (and the Member’s agents, employees, and affiliates) from and against any and all losses, claims, damages, liabilities, and expenses (including reasonable attorneys’ fees) arising out of or relating to the Company or the performance of the Member’s duties, except to the extent attributable to the Member’s fraud, willful misconduct, or knowing violation of law. Any indemnification shall be satisfied solely out of Company assets, and the Member shall have no personal liability on account thereof.</w:t>
      </w:r>
    </w:p>
    <w:p>
      <w:pPr>
        <w:pStyle w:val="Heading1"/>
        <w:spacing w:after="140" w:before="280"/>
      </w:pPr>
      <w:r>
        <w:rPr>
          <w:rFonts w:ascii="Arial" w:cs="Arial" w:eastAsia="Arial" w:hAnsi="Arial"/>
          <w:b/>
          <w:bCs/>
          <w:sz w:val="24"/>
          <w:szCs w:val="24"/>
        </w:rPr>
        <w:t xml:space="preserve">ARTICLE IX — BOOKS, RECORDS, AND BANKING</w:t>
      </w:r>
    </w:p>
    <w:p>
      <w:pPr>
        <w:spacing w:after="140"/>
        <w:jc w:val="both"/>
      </w:pPr>
      <w:r>
        <w:rPr>
          <w:rFonts w:ascii="Arial" w:cs="Arial" w:eastAsia="Arial" w:hAnsi="Arial"/>
          <w:b/>
          <w:bCs/>
          <w:sz w:val="22"/>
          <w:szCs w:val="22"/>
        </w:rPr>
        <w:t xml:space="preserve">9.1 </w:t>
      </w:r>
      <w:r>
        <w:rPr>
          <w:rFonts w:ascii="Arial" w:cs="Arial" w:eastAsia="Arial" w:hAnsi="Arial"/>
          <w:b/>
          <w:bCs/>
          <w:sz w:val="22"/>
          <w:szCs w:val="22"/>
        </w:rPr>
        <w:t xml:space="preserve">Books and Records.  </w:t>
      </w:r>
      <w:r>
        <w:rPr>
          <w:rFonts w:ascii="Arial" w:cs="Arial" w:eastAsia="Arial" w:hAnsi="Arial"/>
          <w:sz w:val="22"/>
          <w:szCs w:val="22"/>
        </w:rPr>
        <w:t xml:space="preserve">The Company shall maintain complete and accurate books and records of its business and affairs, including those required by the Act, at its principal office. The Member shall cause the Company to maintain financial records sufficient to support the Member’s tax reporting, including records supporting any cost segregation study, depreciation schedules, and like-kind exchange.</w:t>
      </w:r>
    </w:p>
    <w:p>
      <w:pPr>
        <w:spacing w:after="140"/>
        <w:jc w:val="both"/>
      </w:pPr>
      <w:r>
        <w:rPr>
          <w:rFonts w:ascii="Arial" w:cs="Arial" w:eastAsia="Arial" w:hAnsi="Arial"/>
          <w:b/>
          <w:bCs/>
          <w:sz w:val="22"/>
          <w:szCs w:val="22"/>
        </w:rPr>
        <w:t xml:space="preserve">9.2 </w:t>
      </w:r>
      <w:r>
        <w:rPr>
          <w:rFonts w:ascii="Arial" w:cs="Arial" w:eastAsia="Arial" w:hAnsi="Arial"/>
          <w:b/>
          <w:bCs/>
          <w:sz w:val="22"/>
          <w:szCs w:val="22"/>
        </w:rPr>
        <w:t xml:space="preserve">Separateness.  </w:t>
      </w:r>
      <w:r>
        <w:rPr>
          <w:rFonts w:ascii="Arial" w:cs="Arial" w:eastAsia="Arial" w:hAnsi="Arial"/>
          <w:sz w:val="22"/>
          <w:szCs w:val="22"/>
        </w:rPr>
        <w:t xml:space="preserve">The Company shall maintain its own bank accounts, books, and records separate from those of the Member and any affiliate, shall hold itself out as a separate entity, and shall conduct its business in its own name, in order to preserve the limited liability of the Member and the separate legal existence of the Company.</w:t>
      </w:r>
    </w:p>
    <w:p>
      <w:pPr>
        <w:pStyle w:val="Heading1"/>
        <w:spacing w:after="140" w:before="280"/>
      </w:pPr>
      <w:r>
        <w:rPr>
          <w:rFonts w:ascii="Arial" w:cs="Arial" w:eastAsia="Arial" w:hAnsi="Arial"/>
          <w:b/>
          <w:bCs/>
          <w:sz w:val="24"/>
          <w:szCs w:val="24"/>
        </w:rPr>
        <w:t xml:space="preserve">ARTICLE X — TRANSFERS AND ADDITIONAL MEMBERS</w:t>
      </w:r>
    </w:p>
    <w:p>
      <w:pPr>
        <w:spacing w:after="140"/>
        <w:jc w:val="both"/>
      </w:pPr>
      <w:r>
        <w:rPr>
          <w:rFonts w:ascii="Arial" w:cs="Arial" w:eastAsia="Arial" w:hAnsi="Arial"/>
          <w:b/>
          <w:bCs/>
          <w:sz w:val="22"/>
          <w:szCs w:val="22"/>
        </w:rPr>
        <w:t xml:space="preserve">10.1 </w:t>
      </w:r>
      <w:r>
        <w:rPr>
          <w:rFonts w:ascii="Arial" w:cs="Arial" w:eastAsia="Arial" w:hAnsi="Arial"/>
          <w:b/>
          <w:bCs/>
          <w:sz w:val="22"/>
          <w:szCs w:val="22"/>
        </w:rPr>
        <w:t xml:space="preserve">Transfer of Interest.  </w:t>
      </w:r>
      <w:r>
        <w:rPr>
          <w:rFonts w:ascii="Arial" w:cs="Arial" w:eastAsia="Arial" w:hAnsi="Arial"/>
          <w:sz w:val="22"/>
          <w:szCs w:val="22"/>
        </w:rPr>
        <w:t xml:space="preserve">The Member may sell, assign, pledge, encumber, or otherwise transfer all or any portion of the Member’s membership interest at any time, in the Member’s sole discretion. A transfer of the entire interest shall entitle the transferee to be admitted as a member with all rights of the transferring Member.</w:t>
      </w:r>
    </w:p>
    <w:p>
      <w:pPr>
        <w:spacing w:after="140"/>
        <w:jc w:val="both"/>
      </w:pPr>
      <w:r>
        <w:rPr>
          <w:rFonts w:ascii="Arial" w:cs="Arial" w:eastAsia="Arial" w:hAnsi="Arial"/>
          <w:b/>
          <w:bCs/>
          <w:sz w:val="22"/>
          <w:szCs w:val="22"/>
        </w:rPr>
        <w:t xml:space="preserve">10.2 </w:t>
      </w:r>
      <w:r>
        <w:rPr>
          <w:rFonts w:ascii="Arial" w:cs="Arial" w:eastAsia="Arial" w:hAnsi="Arial"/>
          <w:b/>
          <w:bCs/>
          <w:sz w:val="22"/>
          <w:szCs w:val="22"/>
        </w:rPr>
        <w:t xml:space="preserve">Admission of Additional Members.  </w:t>
      </w:r>
      <w:r>
        <w:rPr>
          <w:rFonts w:ascii="Arial" w:cs="Arial" w:eastAsia="Arial" w:hAnsi="Arial"/>
          <w:sz w:val="22"/>
          <w:szCs w:val="22"/>
        </w:rPr>
        <w:t xml:space="preserve">One or more additional members may be admitted to the Company on terms determined by the Member. Upon the admission of an additional member, the Member shall amend or restate this Agreement as necessary to reflect the rights and obligations of multiple members, and the Company shall thereafter be treated as a partnership for federal income tax purposes (unless another classification is elected), in which event the parties acknowledge the Company will be required to file a separate partnership return.</w:t>
      </w:r>
    </w:p>
    <w:p>
      <w:pPr>
        <w:pStyle w:val="Heading1"/>
        <w:spacing w:after="140" w:before="280"/>
      </w:pPr>
      <w:r>
        <w:rPr>
          <w:rFonts w:ascii="Arial" w:cs="Arial" w:eastAsia="Arial" w:hAnsi="Arial"/>
          <w:b/>
          <w:bCs/>
          <w:sz w:val="24"/>
          <w:szCs w:val="24"/>
        </w:rPr>
        <w:t xml:space="preserve">ARTICLE XI — DISSOLUTION AND WINDING UP</w:t>
      </w:r>
    </w:p>
    <w:p>
      <w:pPr>
        <w:spacing w:after="140"/>
        <w:jc w:val="both"/>
      </w:pPr>
      <w:r>
        <w:rPr>
          <w:rFonts w:ascii="Arial" w:cs="Arial" w:eastAsia="Arial" w:hAnsi="Arial"/>
          <w:b/>
          <w:bCs/>
          <w:sz w:val="22"/>
          <w:szCs w:val="22"/>
        </w:rPr>
        <w:t xml:space="preserve">11.1 </w:t>
      </w:r>
      <w:r>
        <w:rPr>
          <w:rFonts w:ascii="Arial" w:cs="Arial" w:eastAsia="Arial" w:hAnsi="Arial"/>
          <w:b/>
          <w:bCs/>
          <w:sz w:val="22"/>
          <w:szCs w:val="22"/>
        </w:rPr>
        <w:t xml:space="preserve">Dissolution.  </w:t>
      </w:r>
      <w:r>
        <w:rPr>
          <w:rFonts w:ascii="Arial" w:cs="Arial" w:eastAsia="Arial" w:hAnsi="Arial"/>
          <w:sz w:val="22"/>
          <w:szCs w:val="22"/>
        </w:rPr>
        <w:t xml:space="preserve">The Company shall be dissolved and its affairs wound up upon the first to occur of: (a) the written election of the Member to dissolve the Company; or (b) the entry of a decree of judicial dissolution under the Act. The death, incapacity, bankruptcy, or dissolution of the Member shall not, by itself, dissolve the Company, and the Member’s successor-in-interest or personal representative may continue the business of the Company.</w:t>
      </w:r>
    </w:p>
    <w:p>
      <w:pPr>
        <w:spacing w:after="140"/>
        <w:jc w:val="both"/>
      </w:pPr>
      <w:r>
        <w:rPr>
          <w:rFonts w:ascii="Arial" w:cs="Arial" w:eastAsia="Arial" w:hAnsi="Arial"/>
          <w:b/>
          <w:bCs/>
          <w:sz w:val="22"/>
          <w:szCs w:val="22"/>
        </w:rPr>
        <w:t xml:space="preserve">11.2 </w:t>
      </w:r>
      <w:r>
        <w:rPr>
          <w:rFonts w:ascii="Arial" w:cs="Arial" w:eastAsia="Arial" w:hAnsi="Arial"/>
          <w:b/>
          <w:bCs/>
          <w:sz w:val="22"/>
          <w:szCs w:val="22"/>
        </w:rPr>
        <w:t xml:space="preserve">Winding Up.  </w:t>
      </w:r>
      <w:r>
        <w:rPr>
          <w:rFonts w:ascii="Arial" w:cs="Arial" w:eastAsia="Arial" w:hAnsi="Arial"/>
          <w:sz w:val="22"/>
          <w:szCs w:val="22"/>
        </w:rPr>
        <w:t xml:space="preserve">Upon dissolution, the Company’s assets shall be applied first to creditors (including the Member to the extent the Member is a creditor), then to establish reserves the Member deems reasonably necessary, and the remainder shall be distributed to the Member. Upon completion of winding up, the Member shall cause a Certificate of Dissolution to be filed with the Mississippi Secretary of State.</w:t>
      </w:r>
    </w:p>
    <w:p>
      <w:pPr>
        <w:pStyle w:val="Heading1"/>
        <w:spacing w:after="140" w:before="280"/>
      </w:pPr>
      <w:r>
        <w:rPr>
          <w:rFonts w:ascii="Arial" w:cs="Arial" w:eastAsia="Arial" w:hAnsi="Arial"/>
          <w:b/>
          <w:bCs/>
          <w:sz w:val="24"/>
          <w:szCs w:val="24"/>
        </w:rPr>
        <w:t xml:space="preserve">ARTICLE XII — GENERAL PROVISIONS</w:t>
      </w:r>
    </w:p>
    <w:p>
      <w:pPr>
        <w:spacing w:after="140"/>
        <w:jc w:val="both"/>
      </w:pPr>
      <w:r>
        <w:rPr>
          <w:rFonts w:ascii="Arial" w:cs="Arial" w:eastAsia="Arial" w:hAnsi="Arial"/>
          <w:b/>
          <w:bCs/>
          <w:sz w:val="22"/>
          <w:szCs w:val="22"/>
        </w:rPr>
        <w:t xml:space="preserve">12.1 </w:t>
      </w:r>
      <w:r>
        <w:rPr>
          <w:rFonts w:ascii="Arial" w:cs="Arial" w:eastAsia="Arial" w:hAnsi="Arial"/>
          <w:b/>
          <w:bCs/>
          <w:sz w:val="22"/>
          <w:szCs w:val="22"/>
        </w:rPr>
        <w:t xml:space="preserve">Governing Law.  </w:t>
      </w:r>
      <w:r>
        <w:rPr>
          <w:rFonts w:ascii="Arial" w:cs="Arial" w:eastAsia="Arial" w:hAnsi="Arial"/>
          <w:sz w:val="22"/>
          <w:szCs w:val="22"/>
        </w:rPr>
        <w:t xml:space="preserve">This Agreement shall be governed by and construed in accordance with the laws of the State of Mississippi, without regard to its conflict-of-laws principles.</w:t>
      </w:r>
    </w:p>
    <w:p>
      <w:pPr>
        <w:spacing w:after="140"/>
        <w:jc w:val="both"/>
      </w:pPr>
      <w:r>
        <w:rPr>
          <w:rFonts w:ascii="Arial" w:cs="Arial" w:eastAsia="Arial" w:hAnsi="Arial"/>
          <w:b/>
          <w:bCs/>
          <w:sz w:val="22"/>
          <w:szCs w:val="22"/>
        </w:rPr>
        <w:t xml:space="preserve">12.2 </w:t>
      </w:r>
      <w:r>
        <w:rPr>
          <w:rFonts w:ascii="Arial" w:cs="Arial" w:eastAsia="Arial" w:hAnsi="Arial"/>
          <w:b/>
          <w:bCs/>
          <w:sz w:val="22"/>
          <w:szCs w:val="22"/>
        </w:rPr>
        <w:t xml:space="preserve">Amendment.  </w:t>
      </w:r>
      <w:r>
        <w:rPr>
          <w:rFonts w:ascii="Arial" w:cs="Arial" w:eastAsia="Arial" w:hAnsi="Arial"/>
          <w:sz w:val="22"/>
          <w:szCs w:val="22"/>
        </w:rPr>
        <w:t xml:space="preserve">This Agreement may be amended or restated only by a written instrument executed by the Member.</w:t>
      </w:r>
    </w:p>
    <w:p>
      <w:pPr>
        <w:spacing w:after="140"/>
        <w:jc w:val="both"/>
      </w:pPr>
      <w:r>
        <w:rPr>
          <w:rFonts w:ascii="Arial" w:cs="Arial" w:eastAsia="Arial" w:hAnsi="Arial"/>
          <w:b/>
          <w:bCs/>
          <w:sz w:val="22"/>
          <w:szCs w:val="22"/>
        </w:rPr>
        <w:t xml:space="preserve">12.3 </w:t>
      </w:r>
      <w:r>
        <w:rPr>
          <w:rFonts w:ascii="Arial" w:cs="Arial" w:eastAsia="Arial" w:hAnsi="Arial"/>
          <w:b/>
          <w:bCs/>
          <w:sz w:val="22"/>
          <w:szCs w:val="22"/>
        </w:rPr>
        <w:t xml:space="preserve">Entire Agreement.  </w:t>
      </w:r>
      <w:r>
        <w:rPr>
          <w:rFonts w:ascii="Arial" w:cs="Arial" w:eastAsia="Arial" w:hAnsi="Arial"/>
          <w:sz w:val="22"/>
          <w:szCs w:val="22"/>
        </w:rPr>
        <w:t xml:space="preserve">This Agreement constitutes the entire agreement of the Member with respect to the subject matter hereof and supersedes all prior understandings and agreements relating to the Company.</w:t>
      </w:r>
    </w:p>
    <w:p>
      <w:pPr>
        <w:spacing w:after="140"/>
        <w:jc w:val="both"/>
      </w:pPr>
      <w:r>
        <w:rPr>
          <w:rFonts w:ascii="Arial" w:cs="Arial" w:eastAsia="Arial" w:hAnsi="Arial"/>
          <w:b/>
          <w:bCs/>
          <w:sz w:val="22"/>
          <w:szCs w:val="22"/>
        </w:rPr>
        <w:t xml:space="preserve">12.4 </w:t>
      </w:r>
      <w:r>
        <w:rPr>
          <w:rFonts w:ascii="Arial" w:cs="Arial" w:eastAsia="Arial" w:hAnsi="Arial"/>
          <w:b/>
          <w:bCs/>
          <w:sz w:val="22"/>
          <w:szCs w:val="22"/>
        </w:rPr>
        <w:t xml:space="preserve">Severability.  </w:t>
      </w:r>
      <w:r>
        <w:rPr>
          <w:rFonts w:ascii="Arial" w:cs="Arial" w:eastAsia="Arial" w:hAnsi="Arial"/>
          <w:sz w:val="22"/>
          <w:szCs w:val="22"/>
        </w:rPr>
        <w:t xml:space="preserve">If any provision of this Agreement is held to be invalid or unenforceable, the remaining provisions shall continue in full force and effect, and the invalid provision shall be reformed only to the extent necessary to make it enforceable.</w:t>
      </w:r>
    </w:p>
    <w:p>
      <w:pPr>
        <w:spacing w:after="140"/>
        <w:jc w:val="both"/>
      </w:pPr>
      <w:r>
        <w:rPr>
          <w:rFonts w:ascii="Arial" w:cs="Arial" w:eastAsia="Arial" w:hAnsi="Arial"/>
          <w:b/>
          <w:bCs/>
          <w:sz w:val="22"/>
          <w:szCs w:val="22"/>
        </w:rPr>
        <w:t xml:space="preserve">12.5 </w:t>
      </w:r>
      <w:r>
        <w:rPr>
          <w:rFonts w:ascii="Arial" w:cs="Arial" w:eastAsia="Arial" w:hAnsi="Arial"/>
          <w:b/>
          <w:bCs/>
          <w:sz w:val="22"/>
          <w:szCs w:val="22"/>
        </w:rPr>
        <w:t xml:space="preserve">Binding Effect.  </w:t>
      </w:r>
      <w:r>
        <w:rPr>
          <w:rFonts w:ascii="Arial" w:cs="Arial" w:eastAsia="Arial" w:hAnsi="Arial"/>
          <w:sz w:val="22"/>
          <w:szCs w:val="22"/>
        </w:rPr>
        <w:t xml:space="preserve">This Agreement shall be binding upon and inure to the benefit of the Member and the Member’s heirs, successors, assigns, and personal representatives.</w:t>
      </w:r>
    </w:p>
    <w:p>
      <w:pPr>
        <w:spacing w:after="140"/>
        <w:jc w:val="both"/>
      </w:pPr>
      <w:r>
        <w:rPr>
          <w:rFonts w:ascii="Arial" w:cs="Arial" w:eastAsia="Arial" w:hAnsi="Arial"/>
          <w:b/>
          <w:bCs/>
          <w:sz w:val="22"/>
          <w:szCs w:val="22"/>
        </w:rPr>
        <w:t xml:space="preserve">12.6 </w:t>
      </w:r>
      <w:r>
        <w:rPr>
          <w:rFonts w:ascii="Arial" w:cs="Arial" w:eastAsia="Arial" w:hAnsi="Arial"/>
          <w:b/>
          <w:bCs/>
          <w:sz w:val="22"/>
          <w:szCs w:val="22"/>
        </w:rPr>
        <w:t xml:space="preserve">Single-Member Acknowledgment.  </w:t>
      </w:r>
      <w:r>
        <w:rPr>
          <w:rFonts w:ascii="Arial" w:cs="Arial" w:eastAsia="Arial" w:hAnsi="Arial"/>
          <w:sz w:val="22"/>
          <w:szCs w:val="22"/>
        </w:rPr>
        <w:t xml:space="preserve">The Member acknowledges that the Company is intended to be a separate legal entity affording the Member the limited-liability protections of the Act, and that this Agreement shall be interpreted to give effect to that intent notwithstanding that the Company has only one member.</w:t>
      </w:r>
    </w:p>
    <w:p>
      <w:pPr>
        <w:spacing w:after="200" w:before="300"/>
        <w:jc w:val="both"/>
      </w:pPr>
      <w:r>
        <w:rPr>
          <w:rFonts w:ascii="Arial" w:cs="Arial" w:eastAsia="Arial" w:hAnsi="Arial"/>
          <w:sz w:val="22"/>
          <w:szCs w:val="22"/>
        </w:rPr>
        <w:t xml:space="preserve">IN WITNESS WHEREOF, the undersigned, being the sole Member of 25 Woodgreen LLC, has executed and adopted this Operating Agreement as of the Effective Date.</w:t>
      </w:r>
    </w:p>
    <w:p>
      <w:pPr>
        <w:spacing w:before="200"/>
      </w:pPr>
      <w:r>
        <w:rPr>
          <w:rFonts w:ascii="Arial" w:cs="Arial" w:eastAsia="Arial" w:hAnsi="Arial"/>
          <w:b/>
          <w:bCs/>
          <w:sz w:val="22"/>
          <w:szCs w:val="22"/>
        </w:rPr>
        <w:t xml:space="preserve">MEMBER:</w:t>
      </w:r>
    </w:p>
    <w:p>
      <w:pPr>
        <w:spacing w:after="40" w:before="240"/>
      </w:pPr>
      <w:r>
        <w:rPr>
          <w:rFonts w:ascii="Arial" w:cs="Arial" w:eastAsia="Arial" w:hAnsi="Arial"/>
          <w:sz w:val="22"/>
          <w:szCs w:val="22"/>
        </w:rPr>
        <w:t xml:space="preserve">______________________________________</w:t>
      </w:r>
    </w:p>
    <w:p>
      <w:pPr>
        <w:spacing w:after="20"/>
      </w:pPr>
      <w:r>
        <w:rPr>
          <w:rFonts w:ascii="Arial" w:cs="Arial" w:eastAsia="Arial" w:hAnsi="Arial"/>
          <w:sz w:val="22"/>
          <w:szCs w:val="22"/>
        </w:rPr>
        <w:t xml:space="preserve">Tyler Raborn, Sole Member</w:t>
      </w:r>
    </w:p>
    <w:p>
      <w:pPr>
        <w:spacing w:after="200"/>
      </w:pPr>
      <w:r>
        <w:rPr>
          <w:rFonts w:ascii="Arial" w:cs="Arial" w:eastAsia="Arial" w:hAnsi="Arial"/>
          <w:sz w:val="22"/>
          <w:szCs w:val="22"/>
        </w:rPr>
        <w:t xml:space="preserve">Date: ____________________</w:t>
      </w:r>
    </w:p>
    <w:p>
      <w:pPr>
        <w:pageBreakBefore/>
        <w:spacing w:after="160"/>
        <w:jc w:val="center"/>
      </w:pPr>
      <w:r>
        <w:rPr>
          <w:rFonts w:ascii="Arial" w:cs="Arial" w:eastAsia="Arial" w:hAnsi="Arial"/>
          <w:b/>
          <w:bCs/>
          <w:sz w:val="24"/>
          <w:szCs w:val="24"/>
        </w:rPr>
        <w:t xml:space="preserve">SCHEDULE A</w:t>
      </w:r>
    </w:p>
    <w:p>
      <w:pPr>
        <w:spacing w:after="200"/>
        <w:jc w:val="center"/>
      </w:pPr>
      <w:r>
        <w:rPr>
          <w:rFonts w:ascii="Arial" w:cs="Arial" w:eastAsia="Arial" w:hAnsi="Arial"/>
          <w:b/>
          <w:bCs/>
          <w:sz w:val="22"/>
          <w:szCs w:val="22"/>
        </w:rPr>
        <w:t xml:space="preserve">Member, Capital Contribution, and Percentage Interest</w:t>
      </w:r>
    </w:p>
    <w:p>
      <w:pPr>
        <w:spacing w:after="240"/>
        <w:jc w:val="center"/>
      </w:pPr>
      <w:r>
        <w:rPr>
          <w:rFonts w:ascii="Arial" w:cs="Arial" w:eastAsia="Arial" w:hAnsi="Arial"/>
          <w:i/>
          <w:iCs/>
          <w:sz w:val="20"/>
          <w:szCs w:val="20"/>
        </w:rPr>
        <w:t xml:space="preserve">As of June 4, 2026</w:t>
      </w:r>
    </w:p>
    <w:p>
      <w:pPr>
        <w:spacing w:after="140"/>
        <w:jc w:val="both"/>
      </w:pPr>
      <w:r>
        <w:rPr>
          <w:rFonts w:ascii="Arial" w:cs="Arial" w:eastAsia="Arial" w:hAnsi="Arial"/>
          <w:b w:val="false"/>
          <w:bCs w:val="false"/>
          <w:sz w:val="22"/>
          <w:szCs w:val="22"/>
        </w:rPr>
        <w:t xml:space="preserve">Member:  Tyler Raborn</w:t>
      </w:r>
    </w:p>
    <w:p>
      <w:pPr>
        <w:spacing w:after="140"/>
        <w:jc w:val="both"/>
      </w:pPr>
      <w:r>
        <w:rPr>
          <w:rFonts w:ascii="Arial" w:cs="Arial" w:eastAsia="Arial" w:hAnsi="Arial"/>
          <w:sz w:val="22"/>
          <w:szCs w:val="22"/>
        </w:rPr>
        <w:t xml:space="preserve">Address:  112 Langdon Drive, Madison, Mississippi 39110</w:t>
      </w:r>
    </w:p>
    <w:p>
      <w:pPr>
        <w:spacing w:after="140"/>
        <w:jc w:val="both"/>
      </w:pPr>
      <w:r>
        <w:rPr>
          <w:rFonts w:ascii="Arial" w:cs="Arial" w:eastAsia="Arial" w:hAnsi="Arial"/>
          <w:sz w:val="22"/>
          <w:szCs w:val="22"/>
        </w:rPr>
        <w:t xml:space="preserve">Capital Contribution:  As reflected in the books and records of the Company</w:t>
      </w:r>
    </w:p>
    <w:p>
      <w:pPr>
        <w:spacing w:after="140"/>
        <w:jc w:val="both"/>
      </w:pPr>
      <w:r>
        <w:rPr>
          <w:rFonts w:ascii="Arial" w:cs="Arial" w:eastAsia="Arial" w:hAnsi="Arial"/>
          <w:sz w:val="22"/>
          <w:szCs w:val="22"/>
        </w:rPr>
        <w:t xml:space="preserve">Percentage Interest:  100%</w:t>
      </w:r>
    </w:p>
    <w:p>
      <w:pPr>
        <w:spacing w:before="300"/>
      </w:pPr>
      <w:r>
        <w:rPr>
          <w:rFonts w:ascii="Arial" w:cs="Arial" w:eastAsia="Arial" w:hAnsi="Arial"/>
          <w:sz w:val="22"/>
          <w:szCs w:val="22"/>
        </w:rPr>
        <w:t xml:space="preserve">______________________________________</w:t>
      </w:r>
    </w:p>
    <w:p>
      <w:r>
        <w:rPr>
          <w:rFonts w:ascii="Arial" w:cs="Arial" w:eastAsia="Arial" w:hAnsi="Arial"/>
          <w:sz w:val="22"/>
          <w:szCs w:val="22"/>
        </w:rPr>
        <w:t xml:space="preserve">Tyler Raborn, Sole Member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Operating Agreement of 25 Woodgreen LLC — 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Agreement of 25 Woodgreen LLC</dc:title>
  <dc:creator>25 Woodgreen LLC</dc:creator>
  <cp:lastModifiedBy>Un-named</cp:lastModifiedBy>
  <cp:revision>1</cp:revision>
  <dcterms:created xsi:type="dcterms:W3CDTF">2026-06-07T20:24:34.173Z</dcterms:created>
  <dcterms:modified xsi:type="dcterms:W3CDTF">2026-06-07T20:24:34.173Z</dcterms:modified>
</cp:coreProperties>
</file>

<file path=docProps/custom.xml><?xml version="1.0" encoding="utf-8"?>
<Properties xmlns="http://schemas.openxmlformats.org/officeDocument/2006/custom-properties" xmlns:vt="http://schemas.openxmlformats.org/officeDocument/2006/docPropsVTypes"/>
</file>