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4"/>
        </w:rPr>
      </w:pPr>
      <w:r>
        <w:drawing>
          <wp:inline distT="0" distB="0" distL="0" distR="0">
            <wp:extent cx="4165600" cy="1187450"/>
            <wp:effectExtent l="0" t="0" r="6350" b="0"/>
            <wp:docPr id="6" name="图片 6" descr="校名--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校名--组合"/>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65600" cy="1187450"/>
                    </a:xfrm>
                    <a:prstGeom prst="rect">
                      <a:avLst/>
                    </a:prstGeom>
                    <a:noFill/>
                    <a:ln>
                      <a:noFill/>
                    </a:ln>
                  </pic:spPr>
                </pic:pic>
              </a:graphicData>
            </a:graphic>
          </wp:inline>
        </w:drawing>
      </w:r>
    </w:p>
    <w:p>
      <w:pPr>
        <w:rPr>
          <w:sz w:val="24"/>
        </w:rPr>
      </w:pPr>
    </w:p>
    <w:p>
      <w:pPr>
        <w:rPr>
          <w:sz w:val="24"/>
        </w:rPr>
      </w:pPr>
    </w:p>
    <w:p>
      <w:pPr>
        <w:jc w:val="center"/>
        <w:rPr>
          <w:rFonts w:ascii="黑体" w:eastAsia="黑体"/>
          <w:b/>
          <w:bCs/>
          <w:sz w:val="52"/>
          <w:szCs w:val="52"/>
        </w:rPr>
      </w:pPr>
      <w:r>
        <w:rPr>
          <w:sz w:val="24"/>
        </w:rPr>
        <w:tab/>
      </w:r>
      <w:r>
        <w:rPr>
          <w:rFonts w:hint="eastAsia" w:ascii="黑体" w:eastAsia="黑体"/>
          <w:b/>
          <w:bCs/>
          <w:sz w:val="52"/>
          <w:szCs w:val="52"/>
        </w:rPr>
        <w:t>毕业设计（论文）外文文献翻译</w:t>
      </w:r>
    </w:p>
    <w:p>
      <w:pPr>
        <w:tabs>
          <w:tab w:val="left" w:pos="960"/>
        </w:tabs>
        <w:adjustRightInd w:val="0"/>
        <w:snapToGrid w:val="0"/>
        <w:rPr>
          <w:sz w:val="36"/>
        </w:rPr>
      </w:pPr>
    </w:p>
    <w:p>
      <w:pPr>
        <w:tabs>
          <w:tab w:val="left" w:pos="960"/>
        </w:tabs>
        <w:adjustRightInd w:val="0"/>
        <w:snapToGrid w:val="0"/>
        <w:rPr>
          <w:sz w:val="36"/>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2"/>
        <w:gridCol w:w="6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12" w:type="dxa"/>
            <w:tcBorders>
              <w:top w:val="nil"/>
              <w:left w:val="nil"/>
              <w:bottom w:val="nil"/>
              <w:right w:val="nil"/>
            </w:tcBorders>
            <w:vAlign w:val="center"/>
          </w:tcPr>
          <w:p>
            <w:pPr>
              <w:spacing w:line="360" w:lineRule="auto"/>
              <w:jc w:val="distribute"/>
              <w:rPr>
                <w:rFonts w:ascii="宋体" w:hAnsi="宋体"/>
                <w:b/>
                <w:sz w:val="32"/>
                <w:szCs w:val="32"/>
              </w:rPr>
            </w:pPr>
            <w:r>
              <w:rPr>
                <w:rFonts w:hint="eastAsia" w:ascii="宋体" w:hAnsi="宋体"/>
                <w:b/>
                <w:sz w:val="32"/>
                <w:szCs w:val="32"/>
              </w:rPr>
              <w:t xml:space="preserve">学 </w:t>
            </w:r>
            <w:r>
              <w:rPr>
                <w:rFonts w:ascii="宋体" w:hAnsi="宋体"/>
                <w:b/>
                <w:sz w:val="32"/>
                <w:szCs w:val="32"/>
              </w:rPr>
              <w:t xml:space="preserve">   </w:t>
            </w:r>
            <w:r>
              <w:rPr>
                <w:rFonts w:hint="eastAsia" w:ascii="宋体" w:hAnsi="宋体"/>
                <w:b/>
                <w:sz w:val="32"/>
                <w:szCs w:val="32"/>
              </w:rPr>
              <w:t>院：</w:t>
            </w:r>
          </w:p>
        </w:tc>
        <w:tc>
          <w:tcPr>
            <w:tcW w:w="6304" w:type="dxa"/>
            <w:tcBorders>
              <w:top w:val="nil"/>
              <w:left w:val="nil"/>
              <w:right w:val="nil"/>
            </w:tcBorders>
            <w:vAlign w:val="center"/>
          </w:tcPr>
          <w:p>
            <w:pPr>
              <w:spacing w:line="360" w:lineRule="auto"/>
              <w:jc w:val="center"/>
              <w:rPr>
                <w:rFonts w:ascii="宋体" w:hAnsi="宋体"/>
                <w:sz w:val="32"/>
                <w:szCs w:val="32"/>
              </w:rPr>
            </w:pPr>
            <w:r>
              <w:rPr>
                <w:rFonts w:hint="eastAsia" w:ascii="宋体" w:hAnsi="宋体"/>
                <w:sz w:val="32"/>
                <w:szCs w:val="32"/>
                <w:lang w:val="en-US" w:eastAsia="zh-CN"/>
              </w:rPr>
              <w:t>计算机科学与技术学院</w:t>
            </w:r>
            <w:r>
              <w:rPr>
                <w:rFonts w:hint="eastAsia" w:ascii="宋体" w:hAnsi="宋体"/>
                <w:sz w:val="32"/>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12" w:type="dxa"/>
            <w:tcBorders>
              <w:top w:val="nil"/>
              <w:left w:val="nil"/>
              <w:bottom w:val="nil"/>
              <w:right w:val="nil"/>
            </w:tcBorders>
            <w:vAlign w:val="center"/>
          </w:tcPr>
          <w:p>
            <w:pPr>
              <w:spacing w:line="360" w:lineRule="auto"/>
              <w:jc w:val="distribute"/>
              <w:rPr>
                <w:rFonts w:ascii="宋体" w:hAnsi="宋体"/>
                <w:b/>
                <w:sz w:val="32"/>
                <w:szCs w:val="32"/>
              </w:rPr>
            </w:pPr>
            <w:r>
              <w:rPr>
                <w:rFonts w:hint="eastAsia" w:ascii="宋体" w:hAnsi="宋体"/>
                <w:b/>
                <w:sz w:val="32"/>
                <w:szCs w:val="32"/>
              </w:rPr>
              <w:t>专业班级：</w:t>
            </w:r>
          </w:p>
        </w:tc>
        <w:tc>
          <w:tcPr>
            <w:tcW w:w="6304" w:type="dxa"/>
            <w:tcBorders>
              <w:left w:val="nil"/>
              <w:right w:val="nil"/>
            </w:tcBorders>
            <w:vAlign w:val="center"/>
          </w:tcPr>
          <w:p>
            <w:pPr>
              <w:spacing w:line="360" w:lineRule="auto"/>
              <w:jc w:val="center"/>
              <w:rPr>
                <w:rFonts w:hint="eastAsia" w:eastAsia="宋体"/>
                <w:sz w:val="32"/>
                <w:szCs w:val="32"/>
                <w:lang w:eastAsia="zh-CN"/>
              </w:rPr>
            </w:pPr>
            <w:r>
              <w:rPr>
                <w:rFonts w:hint="eastAsia"/>
                <w:sz w:val="32"/>
                <w:szCs w:val="32"/>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12" w:type="dxa"/>
            <w:tcBorders>
              <w:top w:val="nil"/>
              <w:left w:val="nil"/>
              <w:bottom w:val="nil"/>
              <w:right w:val="nil"/>
            </w:tcBorders>
            <w:vAlign w:val="center"/>
          </w:tcPr>
          <w:p>
            <w:pPr>
              <w:spacing w:line="360" w:lineRule="auto"/>
              <w:jc w:val="distribute"/>
              <w:rPr>
                <w:rFonts w:ascii="宋体" w:hAnsi="宋体"/>
                <w:b/>
                <w:sz w:val="32"/>
                <w:szCs w:val="32"/>
              </w:rPr>
            </w:pPr>
            <w:r>
              <w:rPr>
                <w:rFonts w:hint="eastAsia" w:ascii="宋体" w:hAnsi="宋体"/>
                <w:b/>
                <w:sz w:val="32"/>
                <w:szCs w:val="32"/>
              </w:rPr>
              <w:t>姓    名：</w:t>
            </w:r>
          </w:p>
        </w:tc>
        <w:tc>
          <w:tcPr>
            <w:tcW w:w="6304" w:type="dxa"/>
            <w:tcBorders>
              <w:left w:val="nil"/>
              <w:right w:val="nil"/>
            </w:tcBorders>
            <w:vAlign w:val="center"/>
          </w:tcPr>
          <w:p>
            <w:pPr>
              <w:spacing w:line="360" w:lineRule="auto"/>
              <w:jc w:val="center"/>
              <w:rPr>
                <w:rFonts w:hint="default" w:eastAsia="宋体"/>
                <w:sz w:val="32"/>
                <w:szCs w:val="32"/>
                <w:lang w:val="en-US" w:eastAsia="zh-CN"/>
              </w:rPr>
            </w:pPr>
            <w:r>
              <w:rPr>
                <w:rFonts w:hint="eastAsia"/>
                <w:sz w:val="32"/>
                <w:szCs w:val="32"/>
                <w:lang w:val="en-US" w:eastAsia="zh-CN"/>
              </w:rPr>
              <w:t>李俊杰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12" w:type="dxa"/>
            <w:tcBorders>
              <w:top w:val="nil"/>
              <w:left w:val="nil"/>
              <w:bottom w:val="nil"/>
              <w:right w:val="nil"/>
            </w:tcBorders>
            <w:vAlign w:val="center"/>
          </w:tcPr>
          <w:p>
            <w:pPr>
              <w:spacing w:line="360" w:lineRule="auto"/>
              <w:jc w:val="distribute"/>
              <w:rPr>
                <w:rFonts w:ascii="宋体" w:hAnsi="宋体"/>
                <w:b/>
                <w:sz w:val="32"/>
                <w:szCs w:val="32"/>
              </w:rPr>
            </w:pPr>
            <w:r>
              <w:rPr>
                <w:rFonts w:hint="eastAsia" w:ascii="宋体" w:hAnsi="宋体"/>
                <w:b/>
                <w:sz w:val="32"/>
                <w:szCs w:val="32"/>
              </w:rPr>
              <w:t>学    号：</w:t>
            </w:r>
          </w:p>
        </w:tc>
        <w:tc>
          <w:tcPr>
            <w:tcW w:w="6304" w:type="dxa"/>
            <w:tcBorders>
              <w:left w:val="nil"/>
              <w:right w:val="nil"/>
            </w:tcBorders>
            <w:vAlign w:val="center"/>
          </w:tcPr>
          <w:p>
            <w:pPr>
              <w:spacing w:line="360" w:lineRule="auto"/>
              <w:jc w:val="center"/>
              <w:rPr>
                <w:rFonts w:hint="default" w:eastAsia="宋体"/>
                <w:sz w:val="32"/>
                <w:szCs w:val="32"/>
                <w:lang w:val="en-US" w:eastAsia="zh-CN"/>
              </w:rPr>
            </w:pPr>
            <w:r>
              <w:rPr>
                <w:rFonts w:hint="eastAsia"/>
                <w:sz w:val="32"/>
                <w:szCs w:val="32"/>
                <w:lang w:val="en-US" w:eastAsia="zh-CN"/>
              </w:rPr>
              <w:t>2025121015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12" w:type="dxa"/>
            <w:tcBorders>
              <w:top w:val="nil"/>
              <w:left w:val="nil"/>
              <w:bottom w:val="nil"/>
              <w:right w:val="nil"/>
            </w:tcBorders>
            <w:vAlign w:val="center"/>
          </w:tcPr>
          <w:p>
            <w:pPr>
              <w:spacing w:line="400" w:lineRule="exact"/>
              <w:jc w:val="center"/>
              <w:rPr>
                <w:rFonts w:ascii="宋体" w:hAnsi="宋体"/>
                <w:b/>
                <w:sz w:val="32"/>
                <w:szCs w:val="32"/>
              </w:rPr>
            </w:pPr>
            <w:r>
              <w:rPr>
                <w:rFonts w:hint="eastAsia" w:ascii="宋体" w:hAnsi="宋体"/>
                <w:b/>
                <w:sz w:val="32"/>
                <w:szCs w:val="32"/>
              </w:rPr>
              <w:t>指导教师:</w:t>
            </w:r>
          </w:p>
          <w:p>
            <w:pPr>
              <w:spacing w:line="400" w:lineRule="exact"/>
              <w:jc w:val="center"/>
              <w:rPr>
                <w:rFonts w:ascii="宋体" w:hAnsi="宋体"/>
                <w:b/>
                <w:sz w:val="32"/>
                <w:szCs w:val="32"/>
              </w:rPr>
            </w:pPr>
            <w:r>
              <w:rPr>
                <w:rFonts w:hint="eastAsia" w:ascii="宋体" w:hAnsi="宋体"/>
                <w:b/>
                <w:sz w:val="32"/>
                <w:szCs w:val="32"/>
              </w:rPr>
              <w:t>(签 名)</w:t>
            </w:r>
          </w:p>
        </w:tc>
        <w:tc>
          <w:tcPr>
            <w:tcW w:w="6304" w:type="dxa"/>
            <w:tcBorders>
              <w:left w:val="nil"/>
              <w:right w:val="nil"/>
            </w:tcBorders>
            <w:vAlign w:val="center"/>
          </w:tcPr>
          <w:p>
            <w:pPr>
              <w:spacing w:line="360" w:lineRule="auto"/>
              <w:jc w:val="center"/>
              <w:rPr>
                <w:rFonts w:hint="eastAsia" w:eastAsia="宋体"/>
                <w:sz w:val="32"/>
                <w:szCs w:val="32"/>
                <w:lang w:val="en-US" w:eastAsia="zh-CN"/>
              </w:rPr>
            </w:pPr>
            <w:r>
              <w:rPr>
                <w:rFonts w:hint="eastAsia"/>
                <w:sz w:val="32"/>
                <w:szCs w:val="32"/>
                <w:lang w:val="en-US" w:eastAsia="zh-CN"/>
              </w:rPr>
              <w:t>辛明海</w:t>
            </w:r>
          </w:p>
        </w:tc>
      </w:tr>
    </w:tbl>
    <w:p>
      <w:pPr>
        <w:tabs>
          <w:tab w:val="left" w:pos="960"/>
        </w:tabs>
        <w:rPr>
          <w:sz w:val="24"/>
        </w:rPr>
      </w:pPr>
      <w:r>
        <w:rPr>
          <w:rFonts w:hint="eastAsia"/>
          <w:sz w:val="24"/>
        </w:rPr>
        <w:t xml:space="preserve"> </w:t>
      </w:r>
      <w:r>
        <w:rPr>
          <w:sz w:val="24"/>
        </w:rPr>
        <w:t xml:space="preserve">  </w:t>
      </w:r>
    </w:p>
    <w:p>
      <w:pPr>
        <w:tabs>
          <w:tab w:val="left" w:pos="960"/>
        </w:tabs>
        <w:ind w:firstLine="480" w:firstLineChars="200"/>
        <w:rPr>
          <w:sz w:val="24"/>
        </w:rPr>
      </w:pP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spacing w:line="360" w:lineRule="auto"/>
              <w:rPr>
                <w:b/>
                <w:bCs/>
                <w:sz w:val="24"/>
                <w:szCs w:val="24"/>
              </w:rPr>
            </w:pPr>
            <w:r>
              <w:rPr>
                <w:rFonts w:hint="eastAsia"/>
                <w:b/>
                <w:bCs/>
                <w:sz w:val="24"/>
                <w:szCs w:val="24"/>
              </w:rPr>
              <w:t>翻译文献（见附件）来源：</w:t>
            </w:r>
          </w:p>
          <w:p>
            <w:pPr>
              <w:spacing w:line="360" w:lineRule="auto"/>
              <w:rPr>
                <w:rFonts w:hint="eastAsia"/>
                <w:sz w:val="24"/>
                <w:szCs w:val="24"/>
              </w:rPr>
            </w:pPr>
            <w:r>
              <w:rPr>
                <w:rFonts w:hint="eastAsia"/>
                <w:sz w:val="24"/>
                <w:szCs w:val="24"/>
              </w:rPr>
              <w:t>Xuehan Bai, Yan Li, Yanhua Cheng, Wenjie Yang, Quan Chen, Han Li:</w:t>
            </w:r>
          </w:p>
          <w:p>
            <w:pPr>
              <w:spacing w:line="360" w:lineRule="auto"/>
            </w:pPr>
            <w:r>
              <w:rPr>
                <w:rFonts w:hint="eastAsia"/>
                <w:sz w:val="24"/>
                <w:szCs w:val="24"/>
              </w:rPr>
              <w:t>Cross-Domain Product Representation Learning for Rich-Content E-Commerce. CoRR abs/2308.05550 (2023)</w:t>
            </w:r>
          </w:p>
        </w:tc>
      </w:tr>
    </w:tbl>
    <w:p>
      <w:pPr>
        <w:pStyle w:val="18"/>
        <w:adjustRightInd w:val="0"/>
        <w:snapToGrid w:val="0"/>
        <w:spacing w:before="624" w:beforeLines="200"/>
        <w:ind w:firstLine="879"/>
        <w:jc w:val="center"/>
        <w:rPr>
          <w:rFonts w:hint="eastAsia"/>
          <w:sz w:val="44"/>
          <w:szCs w:val="44"/>
        </w:rPr>
        <w:sectPr>
          <w:headerReference r:id="rId5" w:type="first"/>
          <w:headerReference r:id="rId3" w:type="default"/>
          <w:headerReference r:id="rId4" w:type="even"/>
          <w:type w:val="continuous"/>
          <w:pgSz w:w="11905" w:h="16837"/>
          <w:pgMar w:top="1474" w:right="1134" w:bottom="1474" w:left="1134" w:header="964" w:footer="964" w:gutter="0"/>
          <w:pgBorders>
            <w:top w:val="none" w:sz="0" w:space="0"/>
            <w:left w:val="none" w:sz="0" w:space="0"/>
            <w:bottom w:val="none" w:sz="0" w:space="0"/>
            <w:right w:val="none" w:sz="0" w:space="0"/>
          </w:pgBorders>
          <w:cols w:space="720" w:num="1"/>
          <w:titlePg/>
          <w:docGrid w:type="linesAndChars" w:linePitch="312" w:charSpace="0"/>
        </w:sectPr>
      </w:pPr>
    </w:p>
    <w:p>
      <w:pPr>
        <w:pStyle w:val="18"/>
        <w:adjustRightInd w:val="0"/>
        <w:snapToGrid w:val="0"/>
        <w:spacing w:before="624" w:beforeLines="200"/>
        <w:ind w:firstLine="879"/>
        <w:jc w:val="center"/>
        <w:rPr>
          <w:color w:val="FF0000"/>
          <w:bdr w:val="single" w:color="FF0000" w:sz="4" w:space="0"/>
        </w:rPr>
      </w:pPr>
      <w:r>
        <w:rPr>
          <w:rFonts w:hint="eastAsia"/>
          <w:sz w:val="44"/>
          <w:szCs w:val="44"/>
        </w:rPr>
        <w:t>面向丰富内容电子商务的跨领域产品表示学习</w:t>
      </w:r>
    </w:p>
    <w:p>
      <w:pPr>
        <w:pStyle w:val="19"/>
        <w:adjustRightInd w:val="0"/>
        <w:snapToGrid w:val="0"/>
        <w:spacing w:before="312" w:beforeLines="100" w:after="312" w:afterLines="100" w:line="280" w:lineRule="atLeast"/>
        <w:jc w:val="center"/>
      </w:pPr>
      <w:r>
        <w:rPr>
          <w:rFonts w:hint="eastAsia" w:ascii="仿宋" w:hAnsi="仿宋" w:eastAsia="仿宋" w:cs="仿宋"/>
          <w:sz w:val="32"/>
          <w:szCs w:val="32"/>
        </w:rPr>
        <w:t>Xuehan Bai Yan Li  Yanhua Cheng  Wenjie Yang  Quan Chen  Han Li</w:t>
      </w:r>
    </w:p>
    <w:p>
      <w:pPr>
        <w:pStyle w:val="20"/>
        <w:ind w:left="105" w:hanging="105"/>
        <w:jc w:val="center"/>
        <w:rPr>
          <w:rFonts w:ascii="宋体" w:hAnsi="宋体" w:cs="宋体"/>
          <w:sz w:val="15"/>
          <w:szCs w:val="15"/>
        </w:rPr>
      </w:pPr>
      <w:r>
        <w:rPr>
          <w:rFonts w:hint="eastAsia" w:ascii="宋体" w:hAnsi="宋体" w:cs="宋体"/>
          <w:sz w:val="15"/>
          <w:szCs w:val="15"/>
        </w:rPr>
        <w:t>Kuaishou Technology</w:t>
      </w:r>
    </w:p>
    <w:p>
      <w:pPr>
        <w:pStyle w:val="71"/>
        <w:rPr>
          <w:snapToGrid/>
          <w:szCs w:val="18"/>
        </w:rPr>
      </w:pPr>
      <w:r>
        <w:rPr>
          <w:rFonts w:hint="eastAsia" w:ascii="黑体" w:eastAsia="黑体"/>
          <w:szCs w:val="18"/>
        </w:rPr>
        <w:t>摘  要</w:t>
      </w:r>
      <w:r>
        <w:rPr>
          <w:rFonts w:hint="eastAsia"/>
          <w:szCs w:val="18"/>
        </w:rPr>
        <w:tab/>
      </w:r>
      <w:r>
        <w:rPr>
          <w:rFonts w:hint="eastAsia" w:eastAsia="宋体"/>
          <w:snapToGrid/>
          <w:szCs w:val="18"/>
        </w:rPr>
        <w:t>短视频和直播平台的激增彻底改变了消费者的网购方式。消费者现在不再浏览产品页面，而是转向内容丰富的电子商务，他们可以通过短视频和直播等动态互动媒体购买产品。这种新兴的在线购物形式带来了技术挑战，因为产品可能在不同的媒体领域以不同的方式呈现。因此，统一的产品表示对于实现跨领域产品识别至关重要，以确保最佳的用户搜索体验和有效的产品推荐。尽管行业迫切需要统一的跨领域产品表示，但之前的研究主要集中在产品页面上，而没有考虑短视频和直播。为了填补内容丰富的电子商务领域的空白，本文引入了一个大规模的跨领域产品识别数据集，称为ROPE。ROPE涵盖了广泛的产品类别，包含超过18万种产品，对应数百万短视频和直播。这是第一个同时涵盖产品页面、短视频和直播流的数据集，为跨不同媒体领域建立统一的产品表示提供了基础。此外，我们提出了一个跨领域产品表示框架，即COPE，该框架通过文本和视觉等多模态学习来统一不同领域的产品表示。下游任务的大量实验证明了COPE在学习所有产品域的联合特征空间方面的有效性。</w:t>
      </w:r>
    </w:p>
    <w:p>
      <w:pPr>
        <w:pStyle w:val="73"/>
      </w:pPr>
      <w:r>
        <w:rPr>
          <w:rFonts w:hint="eastAsia"/>
        </w:rPr>
        <w:t>中图法分类号</w:t>
      </w:r>
      <w:r>
        <w:rPr>
          <w:rFonts w:hint="eastAsia"/>
        </w:rPr>
        <w:tab/>
      </w:r>
      <w:r>
        <w:rPr>
          <w:rFonts w:hint="eastAsia"/>
        </w:rPr>
        <w:t xml:space="preserve">arXiv:2308.05550v1 [cs.CV]　　DOI号 </w:t>
      </w:r>
      <w:r>
        <w:rPr>
          <w:rFonts w:hint="eastAsia" w:ascii="宋体" w:hAnsi="宋体" w:eastAsia="宋体"/>
        </w:rPr>
        <w:t>https://doi.org/10.48550/arXiv.2308.05550</w:t>
      </w:r>
    </w:p>
    <w:p>
      <w:pPr>
        <w:pStyle w:val="75"/>
        <w:jc w:val="center"/>
        <w:rPr>
          <w:sz w:val="28"/>
          <w:szCs w:val="28"/>
        </w:rPr>
      </w:pPr>
      <w:r>
        <w:rPr>
          <w:rFonts w:hint="eastAsia"/>
          <w:sz w:val="28"/>
          <w:szCs w:val="28"/>
        </w:rPr>
        <w:t>Cross-Domain Product Representation Learning for Rich-Content E-Commerce</w:t>
      </w:r>
    </w:p>
    <w:p>
      <w:pPr>
        <w:pStyle w:val="59"/>
        <w:jc w:val="center"/>
        <w:rPr>
          <w:sz w:val="21"/>
          <w:szCs w:val="21"/>
        </w:rPr>
      </w:pPr>
      <w:r>
        <w:rPr>
          <w:rFonts w:hint="eastAsia"/>
          <w:sz w:val="21"/>
          <w:szCs w:val="21"/>
        </w:rPr>
        <w:t>Xuehan Bai Yan Li  Yanhua Cheng  Wenjie Yang  Quan Chen  Han Li</w:t>
      </w:r>
      <w:r>
        <w:rPr>
          <w:sz w:val="21"/>
          <w:szCs w:val="21"/>
        </w:rPr>
        <w:t xml:space="preserve"> </w:t>
      </w:r>
      <w:r>
        <w:rPr>
          <w:rFonts w:hint="eastAsia"/>
          <w:sz w:val="21"/>
          <w:szCs w:val="21"/>
        </w:rPr>
        <w:t xml:space="preserve"> </w:t>
      </w:r>
    </w:p>
    <w:p>
      <w:pPr>
        <w:pStyle w:val="60"/>
        <w:ind w:left="99" w:hanging="99"/>
        <w:jc w:val="center"/>
        <w:rPr>
          <w:sz w:val="15"/>
          <w:szCs w:val="15"/>
        </w:rPr>
      </w:pPr>
      <w:r>
        <w:rPr>
          <w:rFonts w:hint="eastAsia"/>
          <w:sz w:val="15"/>
          <w:szCs w:val="15"/>
          <w:vertAlign w:val="superscript"/>
        </w:rPr>
        <w:t>Kuaishou Technology</w:t>
      </w:r>
    </w:p>
    <w:p>
      <w:pPr>
        <w:pStyle w:val="60"/>
        <w:ind w:left="106" w:hanging="106"/>
        <w:jc w:val="center"/>
      </w:pPr>
    </w:p>
    <w:p>
      <w:pPr>
        <w:pStyle w:val="69"/>
        <w:rPr>
          <w:szCs w:val="18"/>
        </w:rPr>
      </w:pPr>
      <w:r>
        <w:rPr>
          <w:rFonts w:eastAsia="宋体"/>
          <w:b/>
          <w:bCs/>
          <w:sz w:val="21"/>
          <w:szCs w:val="21"/>
        </w:rPr>
        <w:t>Abstract</w:t>
      </w:r>
      <w:r>
        <w:rPr>
          <w:rFonts w:hint="eastAsia" w:eastAsia="宋体"/>
          <w:sz w:val="21"/>
          <w:szCs w:val="21"/>
        </w:rPr>
        <w:tab/>
      </w:r>
      <w:r>
        <w:rPr>
          <w:rFonts w:hint="eastAsia" w:eastAsia="宋体"/>
          <w:sz w:val="21"/>
          <w:szCs w:val="21"/>
        </w:rPr>
        <w:t xml:space="preserve">The proliferation of short video and live-streaming platforms has revolutionized how consumers engage in online shopping. Instead of browsing product pages, consumers are now turning to rich-content e-commerce, where they can purchase products through dynamic and interactive media like short videos and live streams. This emerging form of online shopping has introduced technical challenges, as products may be presented differently across various media domains. Therefore, a unified product representation is essential for achieving cross-domain product recognition to ensure an optimal user search experience and effective product recommendations. Despite the urgent industrial need for a unified cross-domain product representation, previous studies have predominantly focused only on product pages without taking into account short videos and live streams. To fill the gap in the rich-content e-commerce area, in this paper, we introduce a large-scale cRoss-dOmain Product rEcognition dataset, called ROPE. ROPE covers a wide range of product categories and contains over 180,000 products, corresponding to millions of short videos and live streams. It is the first dataset to cover product pages, short videos, and live streams simultaneously, providing the basis for establishing a unified product representation across different media domains. Furthermore, we propose a CrossdOmain Product rEpresentation framework, namely COPE, which unifies product representations in different domains through multimodal learning including text and vision. Extensive experiments on downstream tasks demonstrate the effectiveness of COPE in learning a joint feature space for all product domains. </w:t>
      </w:r>
    </w:p>
    <w:p>
      <w:pPr>
        <w:suppressAutoHyphens/>
        <w:overflowPunct/>
        <w:autoSpaceDE w:val="0"/>
        <w:adjustRightInd w:val="0"/>
        <w:snapToGrid w:val="0"/>
        <w:jc w:val="left"/>
        <w:rPr>
          <w:szCs w:val="18"/>
        </w:rPr>
        <w:sectPr>
          <w:pgSz w:w="11905" w:h="16837"/>
          <w:pgMar w:top="1474" w:right="1134" w:bottom="1474" w:left="1134" w:header="964" w:footer="964" w:gutter="0"/>
          <w:pgBorders>
            <w:top w:val="none" w:sz="0" w:space="0"/>
            <w:left w:val="none" w:sz="0" w:space="0"/>
            <w:bottom w:val="none" w:sz="0" w:space="0"/>
            <w:right w:val="none" w:sz="0" w:space="0"/>
          </w:pgBorders>
          <w:cols w:space="720" w:num="1"/>
          <w:titlePg/>
          <w:docGrid w:type="linesAndChars" w:linePitch="312" w:charSpace="0"/>
        </w:sectPr>
      </w:pPr>
    </w:p>
    <w:p>
      <w:pPr>
        <w:pStyle w:val="2"/>
        <w:bidi w:val="0"/>
        <w:rPr>
          <w:rFonts w:hint="eastAsia"/>
        </w:rPr>
      </w:pPr>
      <w:r>
        <w:rPr>
          <w:rFonts w:hint="eastAsia"/>
        </w:rPr>
        <w:t>引言</w:t>
      </w:r>
    </w:p>
    <w:p>
      <w:pPr>
        <w:pStyle w:val="3"/>
        <w:ind w:firstLine="420"/>
        <w:rPr>
          <w:rFonts w:hint="eastAsia" w:ascii="宋体" w:hAnsi="宋体" w:cs="宋体"/>
          <w:sz w:val="21"/>
          <w:szCs w:val="21"/>
        </w:rPr>
      </w:pPr>
      <w:r>
        <w:rPr>
          <w:rFonts w:hint="eastAsia" w:ascii="宋体" w:hAnsi="宋体" w:cs="宋体"/>
          <w:sz w:val="21"/>
          <w:szCs w:val="21"/>
        </w:rPr>
        <w:t>近年来，随着消费者在娱乐媒体上花费时间的变迁，消费者们线上购物的方式已经发生了显著的变化，并且丰富内容电子商务正变得越来越受欢迎。在富内容电商领域，产品不仅以传统的产品页面销售，还以动态和互动的媒体形式销售，如短视频和直播。因此，消费者越来越依赖这些形式来做出明智的购买决定。这种转变促进了更有吸引力的购物体验，弥合了消费者和卖家之间的差距，同时为平台提供了新的机会。</w:t>
      </w:r>
    </w:p>
    <w:p>
      <w:pPr>
        <w:pStyle w:val="3"/>
        <w:ind w:firstLine="420"/>
        <w:rPr>
          <w:rFonts w:ascii="宋体" w:hAnsi="宋体" w:cs="宋体"/>
          <w:sz w:val="21"/>
          <w:szCs w:val="21"/>
        </w:rPr>
      </w:pPr>
      <w:r>
        <w:rPr>
          <w:rFonts w:hint="eastAsia" w:ascii="宋体" w:hAnsi="宋体" w:cs="宋体"/>
          <w:sz w:val="21"/>
          <w:szCs w:val="21"/>
        </w:rPr>
        <w:t>尽管内容丰富的电子商务具有优势，但它也提出了一些技术挑战。最重要的挑战之一是产品在不同媒体领域的表现不一致。例如，相比于传统的商品页面，一个商品在直播中可能会以完全不同的形式出现。在工业场景中，跨不同领域建立统一的产品表示是解决不一致问题的迫切需要。如图1所示，当用户搜索特定产品时，统一的产品表示确保了愉快的搜索体验，即返回的产品页面、短视频和实时流准确地描述了同一产品。平台在为用户推荐产品时，统一的产品表示有利于挖掘用户在不同媒体上的消费行为，进行全面的产品推荐。</w:t>
      </w:r>
    </w:p>
    <w:p>
      <w:pPr>
        <w:pStyle w:val="3"/>
        <w:ind w:firstLine="420"/>
        <w:rPr>
          <w:rFonts w:ascii="宋体" w:hAnsi="宋体" w:cs="宋体"/>
          <w:sz w:val="21"/>
          <w:szCs w:val="21"/>
        </w:rPr>
      </w:pPr>
      <w:r>
        <w:rPr>
          <w:rFonts w:hint="eastAsia" w:ascii="宋体" w:hAnsi="宋体" w:cs="宋体"/>
          <w:sz w:val="21"/>
          <w:szCs w:val="21"/>
        </w:rPr>
        <w:t>尽管行业迫切需要统一的跨领域产品表示，但之前的努力只集中在产品页面领域。学习产品表示最常用的方法是用产品图像和标题训练一个产品分类模型</w:t>
      </w:r>
      <w:r>
        <w:rPr>
          <w:rFonts w:hint="default" w:ascii="Times New Roman" w:hAnsi="Times New Roman" w:cs="Times New Roman"/>
          <w:sz w:val="24"/>
          <w:szCs w:val="24"/>
          <w:vertAlign w:val="superscript"/>
        </w:rPr>
        <w:t>[12,14,26,27]</w:t>
      </w:r>
      <w:r>
        <w:rPr>
          <w:rFonts w:hint="eastAsia" w:ascii="宋体" w:hAnsi="宋体" w:cs="宋体"/>
          <w:sz w:val="21"/>
          <w:szCs w:val="21"/>
        </w:rPr>
        <w:t>。然而，在内容丰富的电子商务中，这种表现方式是远远不能被接受的。具体来说，产品页面上展示的图片一般都是专业人士拍摄的，而在短视频和直播中，产品的姿势和在场景中的位置往往会发生很大的变化。此外，在直播和短视频中，并不能保证产品每时每刻都是可见的。短视频可能与故事情节混在一起，而直播可能包含卖家和观众之间的聊天。这些内容通常与产品无关。为了弥补这一差距并推动相关研究，我们从网上购物平台收集了大量的真实数据，并提出了第一个大规模的跨领域产品识别数据集ROPE。我们的数据集包含3,056,624个产品页面，5,867,526个短视频，以及189,958个不同产品的3,495,097个直播流。它涵盖了网上购物场景的所有产品类别。据我们所知，ROPE是一个内容丰富的电子商务数据集，包括产品页面、短视频和直播。我们希望ROPE的出版能够吸引更多的研究人员进入内容商务领域，推动相关技术的发展。</w:t>
      </w:r>
    </w:p>
    <w:p>
      <w:pPr>
        <w:pStyle w:val="3"/>
        <w:ind w:firstLine="420"/>
        <w:rPr>
          <w:rFonts w:ascii="宋体" w:hAnsi="宋体" w:cs="宋体"/>
          <w:sz w:val="21"/>
          <w:szCs w:val="21"/>
        </w:rPr>
      </w:pPr>
      <w:r>
        <w:rPr>
          <w:rFonts w:hint="eastAsia" w:ascii="宋体" w:hAnsi="宋体" w:cs="宋体"/>
          <w:sz w:val="21"/>
          <w:szCs w:val="21"/>
        </w:rPr>
        <w:t>除了ROPE数据集之外，我们还提出了一个跨域产品表示基线，COPE，它将产品页面、短视频和实时流映射到相同的特征空间，以构建统一的产品表示。</w:t>
      </w:r>
    </w:p>
    <w:p>
      <w:pPr>
        <w:pStyle w:val="3"/>
        <w:ind w:firstLine="420"/>
        <w:rPr>
          <w:rFonts w:hint="eastAsia" w:ascii="宋体" w:hAnsi="宋体" w:cs="宋体"/>
          <w:sz w:val="21"/>
          <w:szCs w:val="21"/>
        </w:rPr>
      </w:pPr>
      <w:r>
        <w:rPr>
          <w:rFonts w:hint="eastAsia" w:ascii="宋体" w:hAnsi="宋体" w:cs="宋体"/>
          <w:sz w:val="21"/>
          <w:szCs w:val="21"/>
        </w:rPr>
        <w:t>基于ROPE数据集，我们对COPE模型在跨域检索和少镜头分类任务上进行了评估。实验结果表明，与现有的技术水平相比，该方法有了显著的改进。</w:t>
      </w:r>
    </w:p>
    <w:p>
      <w:pPr>
        <w:pStyle w:val="3"/>
        <w:ind w:firstLine="360"/>
      </w:pPr>
      <w:r>
        <w:drawing>
          <wp:inline distT="0" distB="0" distL="114300" distR="114300">
            <wp:extent cx="2785745" cy="2106930"/>
            <wp:effectExtent l="0" t="0" r="1016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8"/>
                    <a:stretch>
                      <a:fillRect/>
                    </a:stretch>
                  </pic:blipFill>
                  <pic:spPr>
                    <a:xfrm>
                      <a:off x="0" y="0"/>
                      <a:ext cx="2785745" cy="2106930"/>
                    </a:xfrm>
                    <a:prstGeom prst="rect">
                      <a:avLst/>
                    </a:prstGeom>
                    <a:noFill/>
                    <a:ln>
                      <a:noFill/>
                    </a:ln>
                  </pic:spPr>
                </pic:pic>
              </a:graphicData>
            </a:graphic>
          </wp:inline>
        </w:drawing>
      </w:r>
    </w:p>
    <w:p>
      <w:pPr>
        <w:pStyle w:val="12"/>
        <w:tabs>
          <w:tab w:val="left" w:pos="357"/>
        </w:tabs>
        <w:ind w:firstLine="360"/>
        <w:rPr>
          <w:rFonts w:hint="eastAsia" w:eastAsia="黑体"/>
          <w:lang w:val="en-US" w:eastAsia="zh-CN"/>
        </w:rPr>
      </w:pPr>
      <w:r>
        <w:rPr>
          <w:rFonts w:hint="eastAsia" w:ascii="宋体" w:hAnsi="宋体" w:eastAsia="宋体" w:cs="宋体"/>
          <w:sz w:val="18"/>
          <w:szCs w:val="16"/>
        </w:rPr>
        <w:t xml:space="preserve">图 </w:t>
      </w:r>
      <w:r>
        <w:rPr>
          <w:rFonts w:hint="eastAsia" w:ascii="宋体" w:hAnsi="宋体" w:eastAsia="宋体" w:cs="宋体"/>
          <w:sz w:val="18"/>
          <w:szCs w:val="16"/>
        </w:rPr>
        <w:fldChar w:fldCharType="begin"/>
      </w:r>
      <w:r>
        <w:rPr>
          <w:rFonts w:hint="eastAsia" w:ascii="宋体" w:hAnsi="宋体" w:eastAsia="宋体" w:cs="宋体"/>
          <w:sz w:val="18"/>
          <w:szCs w:val="16"/>
        </w:rPr>
        <w:instrText xml:space="preserve"> SEQ 图 \* ARABIC </w:instrText>
      </w:r>
      <w:r>
        <w:rPr>
          <w:rFonts w:hint="eastAsia" w:ascii="宋体" w:hAnsi="宋体" w:eastAsia="宋体" w:cs="宋体"/>
          <w:sz w:val="18"/>
          <w:szCs w:val="16"/>
        </w:rPr>
        <w:fldChar w:fldCharType="separate"/>
      </w:r>
      <w:r>
        <w:rPr>
          <w:rFonts w:hint="eastAsia" w:ascii="宋体" w:hAnsi="宋体" w:eastAsia="宋体" w:cs="宋体"/>
          <w:sz w:val="18"/>
          <w:szCs w:val="16"/>
        </w:rPr>
        <w:t>1</w:t>
      </w:r>
      <w:r>
        <w:rPr>
          <w:rFonts w:hint="eastAsia" w:ascii="宋体" w:hAnsi="宋体" w:eastAsia="宋体" w:cs="宋体"/>
          <w:sz w:val="18"/>
          <w:szCs w:val="16"/>
        </w:rPr>
        <w:fldChar w:fldCharType="end"/>
      </w:r>
      <w:r>
        <w:rPr>
          <w:rFonts w:hint="eastAsia" w:ascii="宋体" w:hAnsi="宋体" w:eastAsia="宋体" w:cs="宋体"/>
          <w:sz w:val="18"/>
          <w:szCs w:val="16"/>
          <w:lang w:val="en-US" w:eastAsia="zh-CN"/>
        </w:rPr>
        <w:t xml:space="preserve"> </w:t>
      </w:r>
      <w:r>
        <w:rPr>
          <w:rFonts w:hint="eastAsia" w:ascii="宋体" w:hAnsi="宋体" w:eastAsia="宋体" w:cs="宋体"/>
          <w:sz w:val="18"/>
          <w:szCs w:val="16"/>
        </w:rPr>
        <w:t>说明跨领域产品表示对富内容电子商务的重要性。这种新型电商有两个坚实的需求</w:t>
      </w:r>
      <w:r>
        <w:rPr>
          <w:rFonts w:hint="eastAsia" w:ascii="宋体" w:hAnsi="宋体" w:eastAsia="宋体" w:cs="宋体"/>
          <w:sz w:val="18"/>
          <w:szCs w:val="16"/>
          <w:lang w:val="en-US" w:eastAsia="zh-CN"/>
        </w:rPr>
        <w:t>;</w:t>
      </w:r>
      <w:r>
        <w:rPr>
          <w:rFonts w:hint="eastAsia" w:ascii="宋体" w:hAnsi="宋体" w:eastAsia="宋体" w:cs="宋体"/>
          <w:sz w:val="18"/>
          <w:szCs w:val="16"/>
        </w:rPr>
        <w:t>1)平台需要提供与用户查询相对应的产品页面、短视频、直播等精准的产品结果;2)平台能够根据用户的行为历史向用户推荐感兴趣的同类产品。这两个任务都高度依赖于高性能的跨领域产品表示。例子来自流行的富内容电商平台，包括抖音、葵和淘宝。</w:t>
      </w:r>
    </w:p>
    <w:p>
      <w:pPr>
        <w:pStyle w:val="3"/>
        <w:ind w:firstLine="420"/>
        <w:rPr>
          <w:rFonts w:hint="eastAsia" w:ascii="宋体" w:hAnsi="宋体" w:cs="宋体"/>
          <w:sz w:val="21"/>
          <w:szCs w:val="21"/>
        </w:rPr>
      </w:pPr>
      <w:r>
        <w:rPr>
          <w:rFonts w:hint="eastAsia" w:ascii="宋体" w:hAnsi="宋体" w:cs="宋体"/>
          <w:sz w:val="21"/>
          <w:szCs w:val="21"/>
        </w:rPr>
        <w:t>综上所述，我们的贡献如下:</w:t>
      </w:r>
    </w:p>
    <w:p>
      <w:pPr>
        <w:pStyle w:val="3"/>
        <w:ind w:firstLine="420"/>
        <w:rPr>
          <w:rFonts w:hint="eastAsia" w:ascii="宋体" w:hAnsi="宋体" w:cs="宋体"/>
          <w:sz w:val="21"/>
          <w:szCs w:val="21"/>
        </w:rPr>
      </w:pPr>
      <w:r>
        <w:rPr>
          <w:rFonts w:hint="eastAsia" w:ascii="宋体" w:hAnsi="宋体" w:cs="宋体"/>
          <w:sz w:val="21"/>
          <w:szCs w:val="21"/>
        </w:rPr>
        <w:t>1)据我们所知，我们的工作是第一次尝试在产品页面、短视频和直播中建立统一的产品表示，以满足新兴的富内容电子商务的迫切行业需求。</w:t>
      </w:r>
    </w:p>
    <w:p>
      <w:pPr>
        <w:pStyle w:val="3"/>
        <w:ind w:firstLine="420"/>
        <w:rPr>
          <w:rFonts w:hint="eastAsia" w:ascii="宋体" w:hAnsi="宋体" w:cs="宋体"/>
          <w:sz w:val="21"/>
          <w:szCs w:val="21"/>
        </w:rPr>
      </w:pPr>
      <w:r>
        <w:rPr>
          <w:rFonts w:hint="eastAsia" w:ascii="宋体" w:hAnsi="宋体" w:cs="宋体"/>
          <w:sz w:val="21"/>
          <w:szCs w:val="21"/>
        </w:rPr>
        <w:t>2)收集在线电子商务平台的真实数据，构建大规模跨领域产品识别数据集ROPE。它包含3,056,624个产品页面，5,867,526个短视频，以及属于189,958个不同产品的3,495,097个直播。所包含的产品类别涵盖了在线购物场景的全部范围。</w:t>
      </w:r>
    </w:p>
    <w:p>
      <w:pPr>
        <w:pStyle w:val="3"/>
        <w:ind w:firstLine="420"/>
        <w:rPr>
          <w:rFonts w:hint="eastAsia" w:ascii="宋体" w:hAnsi="宋体" w:cs="宋体"/>
          <w:sz w:val="21"/>
          <w:szCs w:val="21"/>
        </w:rPr>
      </w:pPr>
      <w:r>
        <w:rPr>
          <w:rFonts w:hint="eastAsia" w:ascii="宋体" w:hAnsi="宋体" w:cs="宋体"/>
          <w:sz w:val="21"/>
          <w:szCs w:val="21"/>
        </w:rPr>
        <w:t>3)提出了一种跨领域产品表示模型(COPE)来学习跨领域产品表示。实验结果证明了COPE模型相对于现有方法的优越性。</w:t>
      </w:r>
    </w:p>
    <w:p>
      <w:pPr>
        <w:pStyle w:val="3"/>
        <w:ind w:firstLine="420"/>
        <w:rPr>
          <w:rFonts w:ascii="宋体" w:hAnsi="宋体" w:cs="宋体"/>
          <w:sz w:val="21"/>
          <w:szCs w:val="21"/>
        </w:rPr>
      </w:pPr>
    </w:p>
    <w:p>
      <w:pPr>
        <w:pStyle w:val="2"/>
        <w:bidi w:val="0"/>
      </w:pPr>
      <w:r>
        <w:rPr>
          <w:rFonts w:hint="eastAsia"/>
        </w:rPr>
        <w:t>相关工作</w:t>
      </w:r>
    </w:p>
    <w:p>
      <w:pPr>
        <w:pStyle w:val="4"/>
        <w:bidi w:val="0"/>
      </w:pPr>
      <w:r>
        <w:rPr>
          <w:rFonts w:hint="eastAsia"/>
        </w:rPr>
        <w:t>电子商务数据集</w:t>
      </w:r>
    </w:p>
    <w:p>
      <w:pPr>
        <w:pStyle w:val="3"/>
        <w:ind w:firstLine="420"/>
        <w:rPr>
          <w:rFonts w:hint="eastAsia" w:ascii="宋体" w:hAnsi="宋体" w:cs="宋体"/>
          <w:sz w:val="21"/>
          <w:szCs w:val="21"/>
        </w:rPr>
      </w:pPr>
      <w:r>
        <w:rPr>
          <w:rFonts w:hint="eastAsia" w:ascii="宋体" w:hAnsi="宋体" w:cs="宋体"/>
          <w:sz w:val="21"/>
          <w:szCs w:val="21"/>
        </w:rPr>
        <w:t>已经提出了大量的电子商务数据集来推动该领域的技术发展</w:t>
      </w:r>
      <w:r>
        <w:rPr>
          <w:rFonts w:hint="eastAsia" w:ascii="Times New Roman" w:hAnsi="Times New Roman" w:cs="Times New Roman"/>
          <w:sz w:val="24"/>
          <w:szCs w:val="24"/>
          <w:vertAlign w:val="superscript"/>
        </w:rPr>
        <w:t>[2,6,8,11,25,32,33]</w:t>
      </w:r>
      <w:r>
        <w:rPr>
          <w:rFonts w:hint="eastAsia" w:ascii="宋体" w:hAnsi="宋体" w:cs="宋体"/>
          <w:sz w:val="21"/>
          <w:szCs w:val="21"/>
        </w:rPr>
        <w:t>。早期的数据集通常规模有限。Corbiere等人在2017年引入了Dress Retrieval</w:t>
      </w:r>
      <w:r>
        <w:rPr>
          <w:rFonts w:hint="eastAsia" w:ascii="Times New Roman" w:hAnsi="Times New Roman" w:cs="Times New Roman"/>
          <w:sz w:val="24"/>
          <w:szCs w:val="24"/>
          <w:vertAlign w:val="superscript"/>
        </w:rPr>
        <w:t>[6]</w:t>
      </w:r>
      <w:r>
        <w:rPr>
          <w:rFonts w:hint="eastAsia" w:ascii="宋体" w:hAnsi="宋体" w:cs="宋体"/>
          <w:sz w:val="21"/>
          <w:szCs w:val="21"/>
        </w:rPr>
        <w:t>数据集，该数据集包含20000对产品图像和文本对。Rostamzadeh等人提出了fashionengen</w:t>
      </w:r>
      <w:r>
        <w:rPr>
          <w:rFonts w:hint="eastAsia" w:ascii="Times New Roman" w:hAnsi="Times New Roman" w:cs="Times New Roman"/>
          <w:sz w:val="24"/>
          <w:szCs w:val="24"/>
          <w:vertAlign w:val="superscript"/>
        </w:rPr>
        <w:t>[25]</w:t>
      </w:r>
      <w:r>
        <w:rPr>
          <w:rFonts w:hint="eastAsia" w:ascii="宋体" w:hAnsi="宋体" w:cs="宋体"/>
          <w:sz w:val="21"/>
          <w:szCs w:val="21"/>
        </w:rPr>
        <w:t>数据集，该数据集包含293,000个样本，仅涵盖48个产品类别。近年来，随着基于深度学习方法的发展，引入了大规模的产品识别数据集。产品1M</w:t>
      </w:r>
      <w:r>
        <w:rPr>
          <w:rFonts w:hint="eastAsia" w:ascii="Times New Roman" w:hAnsi="Times New Roman" w:cs="Times New Roman"/>
          <w:sz w:val="24"/>
          <w:szCs w:val="24"/>
          <w:vertAlign w:val="superscript"/>
        </w:rPr>
        <w:t>[33]</w:t>
      </w:r>
      <w:r>
        <w:rPr>
          <w:rFonts w:hint="eastAsia" w:ascii="宋体" w:hAnsi="宋体" w:cs="宋体"/>
          <w:sz w:val="21"/>
          <w:szCs w:val="21"/>
        </w:rPr>
        <w:t>将训练样本的规模提升到百万级，但所有样本均来自48个化妆品品牌。产品的覆盖范围很有限。MEP-3M</w:t>
      </w:r>
      <w:r>
        <w:rPr>
          <w:rFonts w:hint="eastAsia" w:ascii="Times New Roman" w:hAnsi="Times New Roman" w:cs="Times New Roman"/>
          <w:sz w:val="24"/>
          <w:szCs w:val="24"/>
          <w:vertAlign w:val="superscript"/>
        </w:rPr>
        <w:t>[2]</w:t>
      </w:r>
      <w:r>
        <w:rPr>
          <w:rFonts w:hint="eastAsia" w:ascii="宋体" w:hAnsi="宋体" w:cs="宋体"/>
          <w:sz w:val="21"/>
          <w:szCs w:val="21"/>
        </w:rPr>
        <w:t>数据集包含300多万个样本，每个样本由产品图像、产品标题和分层分类标签组成。然而，所有这些数据集都只关注产品页面域。在实验部分，我们将证明在产品页面领域学习到的表示不足以处理跨领域的产品识别任务。与我们的ROPE数据集最相关的数据集是M5Product</w:t>
      </w:r>
      <w:r>
        <w:rPr>
          <w:rFonts w:hint="eastAsia" w:ascii="Times New Roman" w:hAnsi="Times New Roman" w:cs="Times New Roman"/>
          <w:sz w:val="24"/>
          <w:szCs w:val="24"/>
          <w:vertAlign w:val="superscript"/>
        </w:rPr>
        <w:t>[8]</w:t>
      </w:r>
      <w:r>
        <w:rPr>
          <w:rFonts w:hint="eastAsia" w:ascii="宋体" w:hAnsi="宋体" w:cs="宋体"/>
          <w:sz w:val="21"/>
          <w:szCs w:val="21"/>
        </w:rPr>
        <w:t>和MovingFashion</w:t>
      </w:r>
      <w:r>
        <w:rPr>
          <w:rFonts w:hint="eastAsia" w:ascii="Times New Roman" w:hAnsi="Times New Roman" w:cs="Times New Roman"/>
          <w:sz w:val="24"/>
          <w:szCs w:val="24"/>
          <w:vertAlign w:val="superscript"/>
        </w:rPr>
        <w:t>[11]</w:t>
      </w:r>
      <w:r>
        <w:rPr>
          <w:rFonts w:hint="eastAsia" w:ascii="宋体" w:hAnsi="宋体" w:cs="宋体"/>
          <w:sz w:val="21"/>
          <w:szCs w:val="21"/>
        </w:rPr>
        <w:t>。M5Product包含600万个样本，对于每个样本，它提供产品图像、产品标题、类别标签、属性表、分配的广告视频和从视频中提取的音频。然而，M5Product中提供的视频与ROPE数据集中引入的实时流有很大不同。M5Product中的视频全部来自产品页面，通常与广告产品密切相关，产品展示在中间，并贯穿始终。相比之下，在ROPE的直播中，卖家和观众之间有很多与产品无关的聊天内容。此外，产品的姿势和位置在直播流中变化很大，这使得ROPE数据集对产品识别更具挑战性。MovingFashion</w:t>
      </w:r>
      <w:r>
        <w:rPr>
          <w:rFonts w:hint="eastAsia" w:ascii="Times New Roman" w:hAnsi="Times New Roman" w:cs="Times New Roman"/>
          <w:sz w:val="24"/>
          <w:szCs w:val="24"/>
          <w:vertAlign w:val="superscript"/>
        </w:rPr>
        <w:t>[11]</w:t>
      </w:r>
      <w:r>
        <w:rPr>
          <w:rFonts w:hint="eastAsia" w:ascii="宋体" w:hAnsi="宋体" w:cs="宋体"/>
          <w:sz w:val="21"/>
          <w:szCs w:val="21"/>
        </w:rPr>
        <w:t>也专注于视频和产品页面的对齐。它只包含15000个视频，涵盖13个产品类别。</w:t>
      </w:r>
    </w:p>
    <w:p>
      <w:pPr>
        <w:pStyle w:val="4"/>
        <w:bidi w:val="0"/>
      </w:pPr>
      <w:r>
        <w:rPr>
          <w:rFonts w:hint="eastAsia"/>
        </w:rPr>
        <w:t>现有的跨域检索方法通常学习视觉域和文本域之间的统一表示。</w:t>
      </w:r>
    </w:p>
    <w:p>
      <w:pPr>
        <w:pStyle w:val="3"/>
        <w:ind w:firstLine="420"/>
        <w:rPr>
          <w:rFonts w:ascii="宋体" w:hAnsi="宋体" w:cs="宋体"/>
          <w:sz w:val="21"/>
          <w:szCs w:val="21"/>
        </w:rPr>
      </w:pPr>
      <w:r>
        <w:rPr>
          <w:rFonts w:hint="eastAsia" w:ascii="宋体" w:hAnsi="宋体" w:cs="宋体"/>
          <w:sz w:val="21"/>
          <w:szCs w:val="21"/>
        </w:rPr>
        <w:t xml:space="preserve">一些最流行的模型遵循单流架构，如VL-bert </w:t>
      </w:r>
      <w:r>
        <w:rPr>
          <w:rFonts w:hint="eastAsia" w:ascii="Times New Roman" w:hAnsi="Times New Roman" w:cs="Times New Roman"/>
          <w:sz w:val="24"/>
          <w:szCs w:val="24"/>
          <w:vertAlign w:val="superscript"/>
        </w:rPr>
        <w:t>[28]</w:t>
      </w:r>
      <w:r>
        <w:rPr>
          <w:rFonts w:hint="eastAsia" w:ascii="宋体" w:hAnsi="宋体" w:cs="宋体"/>
          <w:sz w:val="21"/>
          <w:szCs w:val="21"/>
        </w:rPr>
        <w:t xml:space="preserve">， Imagebert </w:t>
      </w:r>
      <w:r>
        <w:rPr>
          <w:rFonts w:hint="eastAsia" w:ascii="Times New Roman" w:hAnsi="Times New Roman" w:cs="Times New Roman"/>
          <w:sz w:val="24"/>
          <w:szCs w:val="24"/>
          <w:vertAlign w:val="superscript"/>
        </w:rPr>
        <w:t>[23]</w:t>
      </w:r>
      <w:r>
        <w:rPr>
          <w:rFonts w:hint="eastAsia" w:ascii="宋体" w:hAnsi="宋体" w:cs="宋体"/>
          <w:sz w:val="21"/>
          <w:szCs w:val="21"/>
        </w:rPr>
        <w:t xml:space="preserve">， Videobert </w:t>
      </w:r>
      <w:r>
        <w:rPr>
          <w:rFonts w:hint="eastAsia" w:ascii="Times New Roman" w:hAnsi="Times New Roman" w:cs="Times New Roman"/>
          <w:sz w:val="24"/>
          <w:szCs w:val="24"/>
          <w:vertAlign w:val="superscript"/>
        </w:rPr>
        <w:t>[29]</w:t>
      </w:r>
      <w:r>
        <w:rPr>
          <w:rFonts w:hint="eastAsia" w:ascii="宋体" w:hAnsi="宋体" w:cs="宋体"/>
          <w:sz w:val="21"/>
          <w:szCs w:val="21"/>
        </w:rPr>
        <w:t>， Visualbert</w:t>
      </w:r>
      <w:r>
        <w:rPr>
          <w:rFonts w:hint="eastAsia" w:ascii="Times New Roman" w:hAnsi="Times New Roman" w:cs="Times New Roman"/>
          <w:sz w:val="24"/>
          <w:szCs w:val="24"/>
          <w:vertAlign w:val="superscript"/>
        </w:rPr>
        <w:t>[13]</w:t>
      </w:r>
      <w:r>
        <w:rPr>
          <w:rFonts w:hint="eastAsia" w:ascii="宋体" w:hAnsi="宋体" w:cs="宋体"/>
          <w:sz w:val="21"/>
          <w:szCs w:val="21"/>
        </w:rPr>
        <w:t>和Uniter</w:t>
      </w:r>
      <w:r>
        <w:rPr>
          <w:rFonts w:hint="eastAsia" w:ascii="Times New Roman" w:hAnsi="Times New Roman" w:cs="Times New Roman"/>
          <w:sz w:val="24"/>
          <w:szCs w:val="24"/>
          <w:vertAlign w:val="superscript"/>
        </w:rPr>
        <w:t>[4]</w:t>
      </w:r>
      <w:r>
        <w:rPr>
          <w:rFonts w:hint="eastAsia" w:ascii="宋体" w:hAnsi="宋体" w:cs="宋体"/>
          <w:sz w:val="21"/>
          <w:szCs w:val="21"/>
        </w:rPr>
        <w:t>。这些模型将视觉和文本特征连接起来，然后使用二元分类器来预测图像-文本对是否匹配。</w:t>
      </w:r>
    </w:p>
    <w:p>
      <w:pPr>
        <w:pStyle w:val="3"/>
        <w:ind w:firstLine="420"/>
        <w:rPr>
          <w:rFonts w:ascii="宋体" w:hAnsi="宋体" w:cs="宋体"/>
          <w:sz w:val="21"/>
          <w:szCs w:val="21"/>
        </w:rPr>
      </w:pPr>
      <w:r>
        <w:rPr>
          <w:rFonts w:hint="eastAsia" w:ascii="宋体" w:hAnsi="宋体" w:cs="宋体"/>
          <w:sz w:val="21"/>
          <w:szCs w:val="21"/>
        </w:rPr>
        <w:t>MovingFahsion的规模比我们的ROPE数据集要小得多，ROPE数据集涵盖了1000多个产品类别，并提供了产品页面、短视频和直播域的百万级样本。</w:t>
      </w:r>
    </w:p>
    <w:p>
      <w:pPr>
        <w:pStyle w:val="3"/>
        <w:ind w:firstLine="420"/>
        <w:rPr>
          <w:rFonts w:ascii="宋体" w:hAnsi="宋体" w:cs="宋体"/>
          <w:sz w:val="21"/>
          <w:szCs w:val="21"/>
        </w:rPr>
      </w:pPr>
      <w:r>
        <w:rPr>
          <w:rFonts w:hint="eastAsia" w:ascii="宋体" w:hAnsi="宋体" w:cs="宋体"/>
          <w:sz w:val="21"/>
          <w:szCs w:val="21"/>
        </w:rPr>
        <w:t>虽然这些方法通常性能较好，但它们的推理效率较低。ViLBERT</w:t>
      </w:r>
      <w:r>
        <w:rPr>
          <w:rFonts w:hint="eastAsia" w:ascii="Times New Roman" w:hAnsi="Times New Roman" w:cs="Times New Roman"/>
          <w:sz w:val="24"/>
          <w:szCs w:val="24"/>
          <w:vertAlign w:val="superscript"/>
        </w:rPr>
        <w:t>[18]</w:t>
      </w:r>
      <w:r>
        <w:rPr>
          <w:rFonts w:hint="eastAsia" w:ascii="宋体" w:hAnsi="宋体" w:cs="宋体"/>
          <w:sz w:val="21"/>
          <w:szCs w:val="21"/>
        </w:rPr>
        <w:t>、LXMERT</w:t>
      </w:r>
      <w:r>
        <w:rPr>
          <w:rFonts w:hint="eastAsia" w:ascii="Times New Roman" w:hAnsi="Times New Roman" w:cs="Times New Roman"/>
          <w:sz w:val="24"/>
          <w:szCs w:val="24"/>
          <w:vertAlign w:val="superscript"/>
        </w:rPr>
        <w:t>[30]</w:t>
      </w:r>
      <w:r>
        <w:rPr>
          <w:rFonts w:hint="eastAsia" w:ascii="宋体" w:hAnsi="宋体" w:cs="宋体"/>
          <w:sz w:val="21"/>
          <w:szCs w:val="21"/>
        </w:rPr>
        <w:t>、CLIP</w:t>
      </w:r>
      <w:r>
        <w:rPr>
          <w:rFonts w:hint="eastAsia" w:ascii="Times New Roman" w:hAnsi="Times New Roman" w:cs="Times New Roman"/>
          <w:sz w:val="24"/>
          <w:szCs w:val="24"/>
          <w:vertAlign w:val="superscript"/>
        </w:rPr>
        <w:t>[24]</w:t>
      </w:r>
      <w:r>
        <w:rPr>
          <w:rFonts w:hint="eastAsia" w:ascii="宋体" w:hAnsi="宋体" w:cs="宋体"/>
          <w:sz w:val="21"/>
          <w:szCs w:val="21"/>
        </w:rPr>
        <w:t>和CoOp</w:t>
      </w:r>
      <w:r>
        <w:rPr>
          <w:rFonts w:hint="eastAsia" w:ascii="Times New Roman" w:hAnsi="Times New Roman" w:cs="Times New Roman"/>
          <w:sz w:val="24"/>
          <w:szCs w:val="24"/>
          <w:vertAlign w:val="superscript"/>
        </w:rPr>
        <w:t>[34]</w:t>
      </w:r>
      <w:r>
        <w:rPr>
          <w:rFonts w:hint="eastAsia" w:ascii="宋体" w:hAnsi="宋体" w:cs="宋体"/>
          <w:sz w:val="21"/>
          <w:szCs w:val="21"/>
        </w:rPr>
        <w:t>采用了两流架构。该方法使用独立的编码器提取视觉和文本特征，并使用点积运算有效地计算视觉和文本相似度。提出的COPE模型使用对比损失学习不同域的表示，以确保有效的跨域检索。</w:t>
      </w:r>
    </w:p>
    <w:p>
      <w:pPr>
        <w:pStyle w:val="2"/>
        <w:bidi w:val="0"/>
      </w:pPr>
      <w:r>
        <w:rPr>
          <w:rFonts w:hint="eastAsia"/>
        </w:rPr>
        <w:t>ROPE数据集</w:t>
      </w:r>
    </w:p>
    <w:p>
      <w:pPr>
        <w:pStyle w:val="4"/>
        <w:bidi w:val="0"/>
      </w:pPr>
      <w:r>
        <w:rPr>
          <w:rFonts w:hint="eastAsia"/>
        </w:rPr>
        <w:t xml:space="preserve"> 数据收集和清理</w:t>
      </w:r>
    </w:p>
    <w:p>
      <w:pPr>
        <w:pStyle w:val="3"/>
        <w:ind w:firstLine="420"/>
        <w:rPr>
          <w:rFonts w:ascii="宋体" w:hAnsi="宋体" w:cs="宋体"/>
          <w:sz w:val="21"/>
          <w:szCs w:val="21"/>
        </w:rPr>
      </w:pPr>
      <w:r>
        <w:rPr>
          <w:rFonts w:hint="eastAsia" w:ascii="宋体" w:hAnsi="宋体" w:cs="宋体"/>
          <w:sz w:val="21"/>
          <w:szCs w:val="21"/>
        </w:rPr>
        <w:t>我们从在线电子商务平台收集了超过1300个产品类别的数据。构造ROPE数据集需要三个步骤。</w:t>
      </w:r>
      <w:r>
        <w:rPr>
          <w:rFonts w:hint="eastAsia" w:ascii="宋体" w:hAnsi="宋体" w:cs="宋体"/>
          <w:sz w:val="21"/>
          <w:szCs w:val="21"/>
          <w:lang w:val="en-US" w:eastAsia="zh-CN"/>
        </w:rPr>
        <w:tab/>
      </w:r>
      <w:r>
        <w:rPr>
          <w:rFonts w:hint="eastAsia" w:ascii="宋体" w:hAnsi="宋体" w:cs="宋体"/>
          <w:sz w:val="21"/>
          <w:szCs w:val="21"/>
          <w:lang w:val="en-US" w:eastAsia="zh-CN"/>
        </w:rPr>
        <w:t>第一</w:t>
      </w:r>
      <w:r>
        <w:rPr>
          <w:rFonts w:hint="eastAsia" w:ascii="宋体" w:hAnsi="宋体" w:cs="宋体"/>
          <w:sz w:val="21"/>
          <w:szCs w:val="21"/>
        </w:rPr>
        <w:t>，我们从产品页面域、短视频域和直播域收集了大量的无监督多模态样本。对于产品页面域名，我们提供产品图片和标题;对于短视频和直播领域，提供了提取的帧和自动速度识别文本。由此产生的数据集包括超过2亿个样本，并被定义为Draw。</w:t>
      </w:r>
    </w:p>
    <w:p>
      <w:pPr>
        <w:ind w:firstLine="419" w:firstLineChars="0"/>
        <w:rPr>
          <w:sz w:val="21"/>
          <w:szCs w:val="21"/>
        </w:rPr>
      </w:pPr>
      <w:r>
        <w:rPr>
          <w:rFonts w:hint="eastAsia" w:ascii="宋体" w:hAnsi="宋体" w:cs="宋体"/>
          <w:sz w:val="21"/>
          <w:szCs w:val="21"/>
          <w:lang w:val="en-US" w:eastAsia="zh-CN"/>
        </w:rPr>
        <w:t>第二</w:t>
      </w:r>
      <w:r>
        <w:rPr>
          <w:rFonts w:ascii="宋体" w:hAnsi="宋体" w:cs="宋体"/>
          <w:sz w:val="21"/>
          <w:szCs w:val="21"/>
        </w:rPr>
        <w:t>，对Draw的一小部分(0.1%，200K数据点)进行采样并定义为Dsample。对于Dsample中的每个样本，我们要求人类注释者从Draw中找到具有相同产品的其他样本。</w:t>
      </w:r>
      <w:r>
        <w:rPr>
          <w:rFonts w:hint="eastAsia"/>
          <w:sz w:val="21"/>
          <w:szCs w:val="21"/>
        </w:rPr>
        <w:t>为了降低注释成本，所提取的特征具有公共性的中国CLIP模型</w:t>
      </w:r>
      <w:r>
        <w:rPr>
          <w:rFonts w:hint="eastAsia" w:ascii="Times New Roman" w:hAnsi="Times New Roman" w:eastAsia="宋体" w:cs="Times New Roman"/>
          <w:kern w:val="2"/>
          <w:sz w:val="24"/>
          <w:szCs w:val="24"/>
          <w:vertAlign w:val="superscript"/>
          <w:lang w:val="en-US" w:eastAsia="zh-CN" w:bidi="ar-SA"/>
        </w:rPr>
        <w:t>[31]</w:t>
      </w:r>
      <w:r>
        <w:rPr>
          <w:rFonts w:hint="eastAsia"/>
          <w:sz w:val="21"/>
          <w:szCs w:val="21"/>
        </w:rPr>
        <w:t>寻找相关样本进行进一步的人检。带注释的样本用于训练基线COPE模型。</w:t>
      </w:r>
    </w:p>
    <w:p>
      <w:pPr>
        <w:pStyle w:val="3"/>
        <w:ind w:firstLine="420"/>
        <w:rPr>
          <w:rFonts w:ascii="宋体" w:hAnsi="宋体" w:cs="宋体"/>
          <w:sz w:val="21"/>
          <w:szCs w:val="21"/>
        </w:rPr>
      </w:pPr>
      <w:r>
        <w:rPr>
          <w:sz w:val="21"/>
          <w:szCs w:val="21"/>
        </w:rPr>
        <w:t>第三，对于Draw中剩余的未注释样本，使用基线COPE模型过滤掉相关样本，只保留匹配分数</w:t>
      </w:r>
    </w:p>
    <w:p>
      <w:pPr>
        <w:pStyle w:val="3"/>
        <w:ind w:firstLine="360"/>
      </w:pPr>
      <w:r>
        <w:drawing>
          <wp:inline distT="0" distB="0" distL="114300" distR="114300">
            <wp:extent cx="3124835" cy="1416050"/>
            <wp:effectExtent l="0" t="0" r="5715" b="889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3124835" cy="1416050"/>
                    </a:xfrm>
                    <a:prstGeom prst="rect">
                      <a:avLst/>
                    </a:prstGeom>
                    <a:noFill/>
                    <a:ln>
                      <a:noFill/>
                    </a:ln>
                  </pic:spPr>
                </pic:pic>
              </a:graphicData>
            </a:graphic>
          </wp:inline>
        </w:drawing>
      </w:r>
    </w:p>
    <w:p>
      <w:pPr>
        <w:pStyle w:val="12"/>
        <w:tabs>
          <w:tab w:val="left" w:pos="357"/>
        </w:tabs>
        <w:ind w:firstLine="360"/>
        <w:rPr>
          <w:rFonts w:hint="eastAsia" w:eastAsia="黑体"/>
          <w:sz w:val="18"/>
          <w:szCs w:val="16"/>
          <w:lang w:val="en-US" w:eastAsia="zh-CN"/>
        </w:rPr>
      </w:pPr>
      <w:r>
        <w:rPr>
          <w:rFonts w:hint="eastAsia" w:asciiTheme="minorEastAsia" w:hAnsiTheme="minorEastAsia" w:eastAsiaTheme="minorEastAsia" w:cstheme="minorEastAsia"/>
          <w:sz w:val="18"/>
          <w:szCs w:val="16"/>
        </w:rPr>
        <w:t xml:space="preserve">图 </w:t>
      </w:r>
      <w:r>
        <w:rPr>
          <w:rFonts w:hint="eastAsia" w:asciiTheme="minorEastAsia" w:hAnsiTheme="minorEastAsia" w:eastAsiaTheme="minorEastAsia" w:cstheme="minorEastAsia"/>
          <w:sz w:val="18"/>
          <w:szCs w:val="16"/>
        </w:rPr>
        <w:fldChar w:fldCharType="begin"/>
      </w:r>
      <w:r>
        <w:rPr>
          <w:rFonts w:hint="eastAsia" w:asciiTheme="minorEastAsia" w:hAnsiTheme="minorEastAsia" w:eastAsiaTheme="minorEastAsia" w:cstheme="minorEastAsia"/>
          <w:sz w:val="18"/>
          <w:szCs w:val="16"/>
        </w:rPr>
        <w:instrText xml:space="preserve"> SEQ 图 \* ARABIC </w:instrText>
      </w:r>
      <w:r>
        <w:rPr>
          <w:rFonts w:hint="eastAsia" w:asciiTheme="minorEastAsia" w:hAnsiTheme="minorEastAsia" w:eastAsiaTheme="minorEastAsia" w:cstheme="minorEastAsia"/>
          <w:sz w:val="18"/>
          <w:szCs w:val="16"/>
        </w:rPr>
        <w:fldChar w:fldCharType="separate"/>
      </w:r>
      <w:r>
        <w:rPr>
          <w:rFonts w:hint="eastAsia" w:asciiTheme="minorEastAsia" w:hAnsiTheme="minorEastAsia" w:eastAsiaTheme="minorEastAsia" w:cstheme="minorEastAsia"/>
          <w:sz w:val="18"/>
          <w:szCs w:val="16"/>
        </w:rPr>
        <w:t>2</w:t>
      </w:r>
      <w:r>
        <w:rPr>
          <w:rFonts w:hint="eastAsia" w:asciiTheme="minorEastAsia" w:hAnsiTheme="minorEastAsia" w:eastAsiaTheme="minorEastAsia" w:cstheme="minorEastAsia"/>
          <w:sz w:val="18"/>
          <w:szCs w:val="16"/>
        </w:rPr>
        <w:fldChar w:fldCharType="end"/>
      </w:r>
      <w:r>
        <w:rPr>
          <w:rFonts w:hint="eastAsia" w:asciiTheme="minorEastAsia" w:hAnsiTheme="minorEastAsia" w:eastAsiaTheme="minorEastAsia" w:cstheme="minorEastAsia"/>
          <w:sz w:val="18"/>
          <w:szCs w:val="16"/>
          <w:lang w:val="en-US" w:eastAsia="zh-CN"/>
        </w:rPr>
        <w:t xml:space="preserve"> </w:t>
      </w:r>
      <w:r>
        <w:rPr>
          <w:rFonts w:hint="eastAsia" w:asciiTheme="minorEastAsia" w:hAnsiTheme="minorEastAsia" w:eastAsiaTheme="minorEastAsia" w:cstheme="minorEastAsia"/>
          <w:sz w:val="18"/>
          <w:szCs w:val="16"/>
        </w:rPr>
        <w:t>训练样本在产品类别上的分布。它是有偏见和长尾的。</w:t>
      </w:r>
    </w:p>
    <w:p>
      <w:pPr>
        <w:rPr>
          <w:sz w:val="21"/>
          <w:szCs w:val="21"/>
        </w:rPr>
      </w:pPr>
      <w:r>
        <w:rPr>
          <w:sz w:val="21"/>
          <w:szCs w:val="21"/>
        </w:rPr>
        <w:t>大于0.7的样本。之后，属于同一产品的产品页面、短视频和直播流将被聚合。我们只保留完整的成对样本，包括来自所有三个域的数据。</w:t>
      </w:r>
    </w:p>
    <w:p>
      <w:pPr>
        <w:pStyle w:val="4"/>
        <w:bidi w:val="0"/>
      </w:pPr>
      <w:r>
        <w:rPr>
          <w:rFonts w:hint="eastAsia"/>
        </w:rPr>
        <w:t>数据集的统计数据</w:t>
      </w:r>
    </w:p>
    <w:p>
      <w:pPr>
        <w:ind w:firstLine="420" w:firstLineChars="200"/>
        <w:rPr>
          <w:rFonts w:hint="eastAsia" w:ascii="宋体" w:hAnsi="宋体" w:cs="宋体"/>
          <w:sz w:val="21"/>
          <w:szCs w:val="21"/>
        </w:rPr>
      </w:pPr>
      <w:r>
        <w:rPr>
          <w:rFonts w:hint="eastAsia" w:ascii="宋体" w:hAnsi="宋体" w:cs="宋体"/>
          <w:sz w:val="21"/>
          <w:szCs w:val="21"/>
        </w:rPr>
        <w:t>最终的ROPE数据集包括3,056,624个产品页</w:t>
      </w:r>
    </w:p>
    <w:p>
      <w:pPr>
        <w:sectPr>
          <w:type w:val="continuous"/>
          <w:pgSz w:w="11905" w:h="16837"/>
          <w:pgMar w:top="1474" w:right="1134" w:bottom="1474" w:left="1134" w:header="964" w:footer="964" w:gutter="0"/>
          <w:pgBorders>
            <w:top w:val="none" w:sz="0" w:space="0"/>
            <w:left w:val="none" w:sz="0" w:space="0"/>
            <w:bottom w:val="none" w:sz="0" w:space="0"/>
            <w:right w:val="none" w:sz="0" w:space="0"/>
          </w:pgBorders>
          <w:cols w:equalWidth="0" w:num="2">
            <w:col w:w="4606" w:space="425"/>
            <w:col w:w="4606"/>
          </w:cols>
          <w:docGrid w:type="lines" w:linePitch="312" w:charSpace="0"/>
        </w:sectPr>
      </w:pPr>
    </w:p>
    <w:p>
      <w:r>
        <w:drawing>
          <wp:inline distT="0" distB="0" distL="114300" distR="114300">
            <wp:extent cx="6083300" cy="2661920"/>
            <wp:effectExtent l="0" t="0" r="0" b="508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6083300" cy="2661920"/>
                    </a:xfrm>
                    <a:prstGeom prst="rect">
                      <a:avLst/>
                    </a:prstGeom>
                    <a:noFill/>
                    <a:ln>
                      <a:noFill/>
                    </a:ln>
                  </pic:spPr>
                </pic:pic>
              </a:graphicData>
            </a:graphic>
          </wp:inline>
        </w:drawing>
      </w:r>
    </w:p>
    <w:p>
      <w:pPr>
        <w:pStyle w:val="12"/>
        <w:rPr>
          <w:rFonts w:hint="eastAsia" w:ascii="宋体" w:hAnsi="宋体" w:cs="宋体"/>
          <w:sz w:val="21"/>
          <w:szCs w:val="21"/>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eastAsiaTheme="minorEastAsia" w:cstheme="minorEastAsia"/>
          <w:sz w:val="18"/>
          <w:szCs w:val="18"/>
        </w:rPr>
        <w:t xml:space="preserve">图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3</w:t>
      </w:r>
      <w:r>
        <w:rPr>
          <w:rFonts w:hint="eastAsia" w:asciiTheme="minorEastAsia" w:hAnsiTheme="minorEastAsia" w:eastAsiaTheme="minorEastAsia" w:cstheme="minorEastAsia"/>
          <w:sz w:val="18"/>
          <w:szCs w:val="18"/>
        </w:rPr>
        <w:fldChar w:fldCharType="end"/>
      </w:r>
      <w:r>
        <w:rPr>
          <w:rFonts w:hint="eastAsia" w:asciiTheme="minorEastAsia" w:hAnsiTheme="minorEastAsia" w:eastAsiaTheme="minorEastAsia" w:cstheme="minorEastAsia"/>
          <w:sz w:val="18"/>
          <w:szCs w:val="18"/>
          <w:lang w:val="en-US" w:eastAsia="zh-CN"/>
        </w:rPr>
        <w:t xml:space="preserve"> 提出的COPE模型的总体框架。利用文本编码器和视觉编码器从单模态中提取特征，并采用融合编码器对两种特征进行聚合。为了对视频和实时流中的时间信息建模，我们将跨帧通信转换器插入到视觉编码器的每个块中。多帧集成转换器放置在视觉编码器的顶部，以总结整个视频的表示。</w:t>
      </w:r>
    </w:p>
    <w:p>
      <w:pPr>
        <w:rPr>
          <w:rFonts w:hint="eastAsia" w:ascii="宋体" w:hAnsi="宋体" w:cs="宋体"/>
          <w:sz w:val="21"/>
          <w:szCs w:val="21"/>
        </w:rPr>
      </w:pPr>
    </w:p>
    <w:p>
      <w:pPr>
        <w:rPr>
          <w:rFonts w:hint="eastAsia" w:ascii="宋体" w:hAnsi="宋体" w:cs="宋体"/>
          <w:sz w:val="21"/>
          <w:szCs w:val="21"/>
        </w:rPr>
      </w:pPr>
      <w:r>
        <w:rPr>
          <w:rFonts w:hint="eastAsia" w:ascii="宋体" w:hAnsi="宋体" w:cs="宋体"/>
          <w:sz w:val="21"/>
          <w:szCs w:val="21"/>
        </w:rPr>
        <w:t>面，5,867,526个短视频，以及与189,958个产品相关的3,495,097个直播流。表1比较了ROPE和以前的产品数据集。我们将ROPE数据集分为训练集和测试集。火车套装有187431种产品，3025236个产品页面，5837716个短视频，3446116个直播。平均每个产品有16个产品页面、31个短视频和18个直播。跨产品类别的训练样本分布如图2所示，显示了反映在线购物兴趣的长尾模式。前五名分别是地毯、书画、被套、祖母绿和床单。</w:t>
      </w:r>
    </w:p>
    <w:p>
      <w:pPr>
        <w:adjustRightInd w:val="0"/>
        <w:snapToGrid w:val="0"/>
        <w:spacing w:before="156" w:beforeLines="50"/>
        <w:jc w:val="center"/>
        <w:rPr>
          <w:rFonts w:ascii="黑体" w:eastAsia="黑体"/>
          <w:szCs w:val="18"/>
        </w:rPr>
      </w:pPr>
      <w:r>
        <w:rPr>
          <w:rFonts w:hint="eastAsia" w:ascii="黑体" w:eastAsia="黑体"/>
          <w:szCs w:val="18"/>
        </w:rPr>
        <w:t>表1 与其他产品数据集的比较。“-”表示未提及。</w:t>
      </w:r>
    </w:p>
    <w:tbl>
      <w:tblPr>
        <w:tblStyle w:val="26"/>
        <w:tblW w:w="4820" w:type="dxa"/>
        <w:jc w:val="center"/>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autofit"/>
        <w:tblCellMar>
          <w:top w:w="0" w:type="dxa"/>
          <w:left w:w="108" w:type="dxa"/>
          <w:bottom w:w="0" w:type="dxa"/>
          <w:right w:w="108" w:type="dxa"/>
        </w:tblCellMar>
      </w:tblPr>
      <w:tblGrid>
        <w:gridCol w:w="1176"/>
        <w:gridCol w:w="911"/>
        <w:gridCol w:w="911"/>
        <w:gridCol w:w="911"/>
        <w:gridCol w:w="91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资料组</w:t>
            </w:r>
          </w:p>
        </w:tc>
        <w:tc>
          <w:tcPr>
            <w:tcW w:w="911" w:type="dxa"/>
          </w:tcPr>
          <w:p>
            <w:pPr>
              <w:jc w:val="center"/>
              <w:rPr>
                <w:sz w:val="15"/>
                <w:szCs w:val="15"/>
              </w:rPr>
            </w:pPr>
            <w:r>
              <w:rPr>
                <w:rFonts w:hint="eastAsia"/>
                <w:sz w:val="15"/>
                <w:szCs w:val="15"/>
              </w:rPr>
              <w:t>样本</w:t>
            </w:r>
          </w:p>
        </w:tc>
        <w:tc>
          <w:tcPr>
            <w:tcW w:w="911" w:type="dxa"/>
          </w:tcPr>
          <w:p>
            <w:pPr>
              <w:jc w:val="center"/>
              <w:rPr>
                <w:sz w:val="15"/>
                <w:szCs w:val="15"/>
              </w:rPr>
            </w:pPr>
            <w:r>
              <w:rPr>
                <w:rFonts w:hint="eastAsia"/>
                <w:sz w:val="15"/>
                <w:szCs w:val="15"/>
              </w:rPr>
              <w:t>类别</w:t>
            </w:r>
          </w:p>
        </w:tc>
        <w:tc>
          <w:tcPr>
            <w:tcW w:w="911" w:type="dxa"/>
          </w:tcPr>
          <w:p>
            <w:pPr>
              <w:jc w:val="center"/>
              <w:rPr>
                <w:sz w:val="15"/>
                <w:szCs w:val="15"/>
              </w:rPr>
            </w:pPr>
            <w:r>
              <w:rPr>
                <w:rFonts w:hint="eastAsia"/>
                <w:sz w:val="15"/>
                <w:szCs w:val="15"/>
              </w:rPr>
              <w:t>产品</w:t>
            </w:r>
          </w:p>
        </w:tc>
        <w:tc>
          <w:tcPr>
            <w:tcW w:w="911" w:type="dxa"/>
          </w:tcPr>
          <w:p>
            <w:pPr>
              <w:jc w:val="center"/>
              <w:rPr>
                <w:sz w:val="15"/>
                <w:szCs w:val="15"/>
              </w:rPr>
            </w:pPr>
            <w:r>
              <w:rPr>
                <w:rFonts w:hint="eastAsia"/>
                <w:sz w:val="15"/>
                <w:szCs w:val="15"/>
              </w:rPr>
              <w:t>域</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 xml:space="preserve">FashionGen </w:t>
            </w:r>
            <w:r>
              <w:rPr>
                <w:rFonts w:hint="eastAsia" w:ascii="Times New Roman" w:hAnsi="Times New Roman" w:eastAsia="宋体" w:cs="Times New Roman"/>
                <w:kern w:val="2"/>
                <w:sz w:val="24"/>
                <w:szCs w:val="24"/>
                <w:vertAlign w:val="superscript"/>
                <w:lang w:val="en-US" w:eastAsia="zh-CN" w:bidi="ar-SA"/>
              </w:rPr>
              <w:t>[25]</w:t>
            </w:r>
          </w:p>
        </w:tc>
        <w:tc>
          <w:tcPr>
            <w:tcW w:w="911" w:type="dxa"/>
          </w:tcPr>
          <w:p>
            <w:pPr>
              <w:jc w:val="center"/>
              <w:rPr>
                <w:sz w:val="15"/>
                <w:szCs w:val="15"/>
              </w:rPr>
            </w:pPr>
            <w:r>
              <w:rPr>
                <w:rFonts w:hint="eastAsia"/>
                <w:sz w:val="15"/>
                <w:szCs w:val="15"/>
              </w:rPr>
              <w:t>293,008</w:t>
            </w:r>
          </w:p>
        </w:tc>
        <w:tc>
          <w:tcPr>
            <w:tcW w:w="911" w:type="dxa"/>
          </w:tcPr>
          <w:p>
            <w:pPr>
              <w:jc w:val="center"/>
              <w:rPr>
                <w:sz w:val="15"/>
                <w:szCs w:val="15"/>
              </w:rPr>
            </w:pPr>
            <w:r>
              <w:rPr>
                <w:rFonts w:hint="eastAsia"/>
                <w:sz w:val="15"/>
                <w:szCs w:val="15"/>
              </w:rPr>
              <w:t>48</w:t>
            </w:r>
          </w:p>
        </w:tc>
        <w:tc>
          <w:tcPr>
            <w:tcW w:w="911" w:type="dxa"/>
          </w:tcPr>
          <w:p>
            <w:pPr>
              <w:jc w:val="center"/>
              <w:rPr>
                <w:sz w:val="15"/>
                <w:szCs w:val="15"/>
              </w:rPr>
            </w:pPr>
            <w:r>
              <w:rPr>
                <w:rFonts w:hint="eastAsia"/>
                <w:sz w:val="15"/>
                <w:szCs w:val="15"/>
              </w:rPr>
              <w:t>78850</w:t>
            </w:r>
          </w:p>
        </w:tc>
        <w:tc>
          <w:tcPr>
            <w:tcW w:w="911" w:type="dxa"/>
          </w:tcPr>
          <w:p>
            <w:pPr>
              <w:jc w:val="center"/>
              <w:rPr>
                <w:sz w:val="15"/>
                <w:szCs w:val="15"/>
              </w:rPr>
            </w:pPr>
            <w:r>
              <w:rPr>
                <w:rFonts w:hint="eastAsia"/>
                <w:sz w:val="15"/>
                <w:szCs w:val="15"/>
              </w:rPr>
              <w:t>产品页面</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sz w:val="15"/>
                <w:szCs w:val="15"/>
              </w:rPr>
              <w:t xml:space="preserve">Dress Retrieval </w:t>
            </w:r>
            <w:r>
              <w:rPr>
                <w:rFonts w:hint="eastAsia" w:ascii="Times New Roman" w:hAnsi="Times New Roman" w:eastAsia="宋体" w:cs="Times New Roman"/>
                <w:kern w:val="2"/>
                <w:sz w:val="24"/>
                <w:szCs w:val="24"/>
                <w:vertAlign w:val="superscript"/>
                <w:lang w:val="en-US" w:eastAsia="zh-CN" w:bidi="ar-SA"/>
              </w:rPr>
              <w:t>[6]</w:t>
            </w:r>
          </w:p>
        </w:tc>
        <w:tc>
          <w:tcPr>
            <w:tcW w:w="911" w:type="dxa"/>
          </w:tcPr>
          <w:p>
            <w:pPr>
              <w:jc w:val="center"/>
              <w:rPr>
                <w:sz w:val="15"/>
                <w:szCs w:val="15"/>
              </w:rPr>
            </w:pPr>
            <w:r>
              <w:rPr>
                <w:rFonts w:hint="eastAsia"/>
                <w:sz w:val="15"/>
                <w:szCs w:val="15"/>
              </w:rPr>
              <w:t>20200</w:t>
            </w:r>
          </w:p>
        </w:tc>
        <w:tc>
          <w:tcPr>
            <w:tcW w:w="911" w:type="dxa"/>
          </w:tcPr>
          <w:p>
            <w:pPr>
              <w:jc w:val="center"/>
              <w:rPr>
                <w:sz w:val="15"/>
                <w:szCs w:val="15"/>
              </w:rPr>
            </w:pPr>
            <w:r>
              <w:rPr>
                <w:rFonts w:hint="eastAsia"/>
                <w:sz w:val="15"/>
                <w:szCs w:val="15"/>
              </w:rPr>
              <w:t>50</w:t>
            </w:r>
          </w:p>
        </w:tc>
        <w:tc>
          <w:tcPr>
            <w:tcW w:w="911" w:type="dxa"/>
          </w:tcPr>
          <w:p>
            <w:pPr>
              <w:jc w:val="center"/>
              <w:rPr>
                <w:sz w:val="15"/>
                <w:szCs w:val="15"/>
              </w:rPr>
            </w:pPr>
            <w:r>
              <w:rPr>
                <w:rFonts w:hint="eastAsia"/>
                <w:sz w:val="15"/>
                <w:szCs w:val="15"/>
              </w:rPr>
              <w:t>20200</w:t>
            </w:r>
          </w:p>
        </w:tc>
        <w:tc>
          <w:tcPr>
            <w:tcW w:w="911" w:type="dxa"/>
          </w:tcPr>
          <w:p>
            <w:pPr>
              <w:jc w:val="center"/>
              <w:rPr>
                <w:sz w:val="15"/>
                <w:szCs w:val="15"/>
              </w:rPr>
            </w:pPr>
            <w:r>
              <w:rPr>
                <w:rFonts w:hint="eastAsia"/>
                <w:sz w:val="15"/>
                <w:szCs w:val="15"/>
              </w:rPr>
              <w:t>产品页面</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 xml:space="preserve">Product1M </w:t>
            </w:r>
            <w:r>
              <w:rPr>
                <w:rFonts w:hint="eastAsia" w:ascii="Times New Roman" w:hAnsi="Times New Roman" w:eastAsia="宋体" w:cs="Times New Roman"/>
                <w:kern w:val="2"/>
                <w:sz w:val="24"/>
                <w:szCs w:val="24"/>
                <w:vertAlign w:val="superscript"/>
                <w:lang w:val="en-US" w:eastAsia="zh-CN" w:bidi="ar-SA"/>
              </w:rPr>
              <w:t>[33]</w:t>
            </w:r>
          </w:p>
        </w:tc>
        <w:tc>
          <w:tcPr>
            <w:tcW w:w="911" w:type="dxa"/>
          </w:tcPr>
          <w:p>
            <w:pPr>
              <w:jc w:val="center"/>
              <w:rPr>
                <w:sz w:val="15"/>
                <w:szCs w:val="15"/>
              </w:rPr>
            </w:pPr>
            <w:r>
              <w:rPr>
                <w:rFonts w:hint="eastAsia"/>
                <w:sz w:val="15"/>
                <w:szCs w:val="15"/>
              </w:rPr>
              <w:t>1182083</w:t>
            </w:r>
          </w:p>
        </w:tc>
        <w:tc>
          <w:tcPr>
            <w:tcW w:w="911" w:type="dxa"/>
          </w:tcPr>
          <w:p>
            <w:pPr>
              <w:jc w:val="center"/>
              <w:rPr>
                <w:sz w:val="15"/>
                <w:szCs w:val="15"/>
              </w:rPr>
            </w:pPr>
            <w:r>
              <w:rPr>
                <w:rFonts w:hint="eastAsia"/>
                <w:sz w:val="15"/>
                <w:szCs w:val="15"/>
              </w:rPr>
              <w:t>458</w:t>
            </w:r>
          </w:p>
        </w:tc>
        <w:tc>
          <w:tcPr>
            <w:tcW w:w="911" w:type="dxa"/>
          </w:tcPr>
          <w:p>
            <w:pPr>
              <w:jc w:val="center"/>
              <w:rPr>
                <w:sz w:val="15"/>
                <w:szCs w:val="15"/>
              </w:rPr>
            </w:pPr>
            <w:r>
              <w:rPr>
                <w:rFonts w:hint="eastAsia"/>
                <w:sz w:val="15"/>
                <w:szCs w:val="15"/>
              </w:rPr>
              <w:t>92200</w:t>
            </w:r>
          </w:p>
        </w:tc>
        <w:tc>
          <w:tcPr>
            <w:tcW w:w="911" w:type="dxa"/>
          </w:tcPr>
          <w:p>
            <w:pPr>
              <w:jc w:val="center"/>
              <w:rPr>
                <w:sz w:val="15"/>
                <w:szCs w:val="15"/>
              </w:rPr>
            </w:pPr>
            <w:r>
              <w:rPr>
                <w:rFonts w:hint="eastAsia"/>
                <w:sz w:val="15"/>
                <w:szCs w:val="15"/>
              </w:rPr>
              <w:t>产品页面</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MEP-3M</w:t>
            </w:r>
            <w:r>
              <w:rPr>
                <w:rFonts w:hint="eastAsia" w:ascii="Times New Roman" w:hAnsi="Times New Roman" w:eastAsia="宋体" w:cs="Times New Roman"/>
                <w:kern w:val="2"/>
                <w:sz w:val="24"/>
                <w:szCs w:val="24"/>
                <w:vertAlign w:val="superscript"/>
                <w:lang w:val="en-US" w:eastAsia="zh-CN" w:bidi="ar-SA"/>
              </w:rPr>
              <w:t xml:space="preserve"> [2]</w:t>
            </w:r>
          </w:p>
        </w:tc>
        <w:tc>
          <w:tcPr>
            <w:tcW w:w="911" w:type="dxa"/>
          </w:tcPr>
          <w:p>
            <w:pPr>
              <w:jc w:val="center"/>
              <w:rPr>
                <w:sz w:val="15"/>
                <w:szCs w:val="15"/>
              </w:rPr>
            </w:pPr>
            <w:r>
              <w:rPr>
                <w:rFonts w:hint="eastAsia"/>
                <w:sz w:val="15"/>
                <w:szCs w:val="15"/>
              </w:rPr>
              <w:t>3012959</w:t>
            </w:r>
          </w:p>
        </w:tc>
        <w:tc>
          <w:tcPr>
            <w:tcW w:w="911" w:type="dxa"/>
          </w:tcPr>
          <w:p>
            <w:pPr>
              <w:jc w:val="center"/>
              <w:rPr>
                <w:sz w:val="15"/>
                <w:szCs w:val="15"/>
              </w:rPr>
            </w:pPr>
            <w:r>
              <w:rPr>
                <w:rFonts w:hint="eastAsia"/>
                <w:sz w:val="15"/>
                <w:szCs w:val="15"/>
              </w:rPr>
              <w:t>599</w:t>
            </w:r>
          </w:p>
        </w:tc>
        <w:tc>
          <w:tcPr>
            <w:tcW w:w="911" w:type="dxa"/>
          </w:tcPr>
          <w:p>
            <w:pPr>
              <w:jc w:val="center"/>
              <w:rPr>
                <w:sz w:val="15"/>
                <w:szCs w:val="15"/>
              </w:rPr>
            </w:pPr>
            <w:r>
              <w:rPr>
                <w:rFonts w:hint="eastAsia"/>
                <w:sz w:val="15"/>
                <w:szCs w:val="15"/>
              </w:rPr>
              <w:t>-</w:t>
            </w:r>
          </w:p>
        </w:tc>
        <w:tc>
          <w:tcPr>
            <w:tcW w:w="911" w:type="dxa"/>
          </w:tcPr>
          <w:p>
            <w:pPr>
              <w:jc w:val="center"/>
              <w:rPr>
                <w:sz w:val="15"/>
                <w:szCs w:val="15"/>
              </w:rPr>
            </w:pPr>
            <w:r>
              <w:rPr>
                <w:rFonts w:hint="eastAsia"/>
                <w:sz w:val="15"/>
                <w:szCs w:val="15"/>
              </w:rPr>
              <w:t>产品页面</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M5Product</w:t>
            </w:r>
            <w:r>
              <w:rPr>
                <w:rFonts w:hint="eastAsia" w:ascii="Times New Roman" w:hAnsi="Times New Roman" w:eastAsia="宋体" w:cs="Times New Roman"/>
                <w:kern w:val="2"/>
                <w:sz w:val="24"/>
                <w:szCs w:val="24"/>
                <w:vertAlign w:val="superscript"/>
                <w:lang w:val="en-US" w:eastAsia="zh-CN" w:bidi="ar-SA"/>
              </w:rPr>
              <w:t xml:space="preserve"> [8]</w:t>
            </w:r>
          </w:p>
        </w:tc>
        <w:tc>
          <w:tcPr>
            <w:tcW w:w="911" w:type="dxa"/>
          </w:tcPr>
          <w:p>
            <w:pPr>
              <w:jc w:val="center"/>
              <w:rPr>
                <w:sz w:val="15"/>
                <w:szCs w:val="15"/>
              </w:rPr>
            </w:pPr>
            <w:r>
              <w:rPr>
                <w:rFonts w:hint="eastAsia"/>
                <w:sz w:val="15"/>
                <w:szCs w:val="15"/>
              </w:rPr>
              <w:t>6313067</w:t>
            </w:r>
          </w:p>
        </w:tc>
        <w:tc>
          <w:tcPr>
            <w:tcW w:w="911" w:type="dxa"/>
          </w:tcPr>
          <w:p>
            <w:pPr>
              <w:jc w:val="center"/>
              <w:rPr>
                <w:sz w:val="15"/>
                <w:szCs w:val="15"/>
              </w:rPr>
            </w:pPr>
            <w:r>
              <w:rPr>
                <w:rFonts w:hint="eastAsia"/>
                <w:sz w:val="15"/>
                <w:szCs w:val="15"/>
              </w:rPr>
              <w:t>6232</w:t>
            </w:r>
          </w:p>
        </w:tc>
        <w:tc>
          <w:tcPr>
            <w:tcW w:w="911" w:type="dxa"/>
          </w:tcPr>
          <w:p>
            <w:pPr>
              <w:jc w:val="center"/>
              <w:rPr>
                <w:sz w:val="15"/>
                <w:szCs w:val="15"/>
              </w:rPr>
            </w:pPr>
            <w:r>
              <w:rPr>
                <w:rFonts w:hint="eastAsia"/>
                <w:sz w:val="15"/>
                <w:szCs w:val="15"/>
              </w:rPr>
              <w:t>-</w:t>
            </w:r>
          </w:p>
        </w:tc>
        <w:tc>
          <w:tcPr>
            <w:tcW w:w="911" w:type="dxa"/>
          </w:tcPr>
          <w:p>
            <w:pPr>
              <w:jc w:val="center"/>
              <w:rPr>
                <w:sz w:val="15"/>
                <w:szCs w:val="15"/>
              </w:rPr>
            </w:pPr>
            <w:r>
              <w:rPr>
                <w:rFonts w:hint="eastAsia"/>
                <w:sz w:val="15"/>
                <w:szCs w:val="15"/>
              </w:rPr>
              <w:t>产品页面</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 xml:space="preserve">MovingFashion </w:t>
            </w:r>
            <w:r>
              <w:rPr>
                <w:rFonts w:hint="eastAsia" w:ascii="Times New Roman" w:hAnsi="Times New Roman" w:eastAsia="宋体" w:cs="Times New Roman"/>
                <w:kern w:val="2"/>
                <w:sz w:val="24"/>
                <w:szCs w:val="24"/>
                <w:vertAlign w:val="superscript"/>
                <w:lang w:val="en-US" w:eastAsia="zh-CN" w:bidi="ar-SA"/>
              </w:rPr>
              <w:t>[11]</w:t>
            </w:r>
          </w:p>
        </w:tc>
        <w:tc>
          <w:tcPr>
            <w:tcW w:w="911" w:type="dxa"/>
          </w:tcPr>
          <w:p>
            <w:pPr>
              <w:jc w:val="center"/>
              <w:rPr>
                <w:sz w:val="15"/>
                <w:szCs w:val="15"/>
              </w:rPr>
            </w:pPr>
            <w:r>
              <w:rPr>
                <w:rFonts w:hint="eastAsia"/>
                <w:sz w:val="15"/>
                <w:szCs w:val="15"/>
              </w:rPr>
              <w:t>1500</w:t>
            </w:r>
          </w:p>
        </w:tc>
        <w:tc>
          <w:tcPr>
            <w:tcW w:w="911" w:type="dxa"/>
          </w:tcPr>
          <w:p>
            <w:pPr>
              <w:jc w:val="center"/>
              <w:rPr>
                <w:sz w:val="15"/>
                <w:szCs w:val="15"/>
              </w:rPr>
            </w:pPr>
            <w:r>
              <w:rPr>
                <w:rFonts w:hint="eastAsia"/>
                <w:sz w:val="15"/>
                <w:szCs w:val="15"/>
              </w:rPr>
              <w:t>-</w:t>
            </w:r>
          </w:p>
        </w:tc>
        <w:tc>
          <w:tcPr>
            <w:tcW w:w="911" w:type="dxa"/>
          </w:tcPr>
          <w:p>
            <w:pPr>
              <w:jc w:val="center"/>
              <w:rPr>
                <w:sz w:val="15"/>
                <w:szCs w:val="15"/>
              </w:rPr>
            </w:pPr>
            <w:r>
              <w:rPr>
                <w:rFonts w:hint="eastAsia"/>
                <w:sz w:val="15"/>
                <w:szCs w:val="15"/>
              </w:rPr>
              <w:t>-</w:t>
            </w:r>
          </w:p>
        </w:tc>
        <w:tc>
          <w:tcPr>
            <w:tcW w:w="911" w:type="dxa"/>
          </w:tcPr>
          <w:p>
            <w:pPr>
              <w:jc w:val="center"/>
              <w:rPr>
                <w:sz w:val="15"/>
                <w:szCs w:val="15"/>
              </w:rPr>
            </w:pPr>
            <w:r>
              <w:rPr>
                <w:rFonts w:hint="eastAsia"/>
                <w:sz w:val="15"/>
                <w:szCs w:val="15"/>
              </w:rPr>
              <w:t>产品页面/短视频</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rPr>
          <w:jc w:val="center"/>
        </w:trPr>
        <w:tc>
          <w:tcPr>
            <w:tcW w:w="1176" w:type="dxa"/>
          </w:tcPr>
          <w:p>
            <w:pPr>
              <w:jc w:val="center"/>
              <w:rPr>
                <w:sz w:val="15"/>
                <w:szCs w:val="15"/>
              </w:rPr>
            </w:pPr>
            <w:r>
              <w:rPr>
                <w:rFonts w:hint="eastAsia"/>
                <w:sz w:val="15"/>
                <w:szCs w:val="15"/>
              </w:rPr>
              <w:t>ROPE(ours)</w:t>
            </w:r>
          </w:p>
        </w:tc>
        <w:tc>
          <w:tcPr>
            <w:tcW w:w="911" w:type="dxa"/>
          </w:tcPr>
          <w:p>
            <w:pPr>
              <w:jc w:val="center"/>
              <w:rPr>
                <w:sz w:val="15"/>
                <w:szCs w:val="15"/>
              </w:rPr>
            </w:pPr>
            <w:r>
              <w:rPr>
                <w:rFonts w:hint="eastAsia"/>
                <w:sz w:val="15"/>
                <w:szCs w:val="15"/>
              </w:rPr>
              <w:t>12027068</w:t>
            </w:r>
          </w:p>
        </w:tc>
        <w:tc>
          <w:tcPr>
            <w:tcW w:w="911" w:type="dxa"/>
          </w:tcPr>
          <w:p>
            <w:pPr>
              <w:jc w:val="center"/>
              <w:rPr>
                <w:sz w:val="15"/>
                <w:szCs w:val="15"/>
              </w:rPr>
            </w:pPr>
            <w:r>
              <w:rPr>
                <w:rFonts w:hint="eastAsia"/>
                <w:sz w:val="15"/>
                <w:szCs w:val="15"/>
              </w:rPr>
              <w:t>1368</w:t>
            </w:r>
          </w:p>
        </w:tc>
        <w:tc>
          <w:tcPr>
            <w:tcW w:w="911" w:type="dxa"/>
          </w:tcPr>
          <w:p>
            <w:pPr>
              <w:jc w:val="center"/>
              <w:rPr>
                <w:sz w:val="15"/>
                <w:szCs w:val="15"/>
              </w:rPr>
            </w:pPr>
            <w:r>
              <w:rPr>
                <w:rFonts w:hint="eastAsia"/>
                <w:sz w:val="15"/>
                <w:szCs w:val="15"/>
              </w:rPr>
              <w:t>187431</w:t>
            </w:r>
          </w:p>
        </w:tc>
        <w:tc>
          <w:tcPr>
            <w:tcW w:w="911" w:type="dxa"/>
          </w:tcPr>
          <w:p>
            <w:pPr>
              <w:jc w:val="center"/>
              <w:rPr>
                <w:sz w:val="15"/>
                <w:szCs w:val="15"/>
              </w:rPr>
            </w:pPr>
            <w:r>
              <w:rPr>
                <w:rFonts w:hint="eastAsia"/>
                <w:sz w:val="15"/>
                <w:szCs w:val="15"/>
              </w:rPr>
              <w:t>产品页面/短视频/现场直播</w:t>
            </w:r>
          </w:p>
        </w:tc>
      </w:tr>
    </w:tbl>
    <w:p>
      <w:pPr>
        <w:pStyle w:val="2"/>
        <w:bidi w:val="0"/>
        <w:rPr>
          <w:rFonts w:hint="eastAsia" w:ascii="宋体" w:hAnsi="宋体" w:eastAsia="宋体" w:cs="宋体"/>
          <w:sz w:val="21"/>
          <w:szCs w:val="21"/>
          <w:lang w:eastAsia="zh-CN"/>
        </w:rPr>
      </w:pPr>
      <w:r>
        <w:rPr>
          <w:rFonts w:hint="eastAsia"/>
          <w:lang w:val="en-US" w:eastAsia="zh-CN"/>
        </w:rPr>
        <w:t>方法</w:t>
      </w:r>
    </w:p>
    <w:p>
      <w:pPr>
        <w:rPr>
          <w:rFonts w:ascii="宋体" w:hAnsi="宋体" w:cs="宋体"/>
          <w:sz w:val="21"/>
          <w:szCs w:val="21"/>
        </w:rPr>
      </w:pPr>
      <w:r>
        <w:rPr>
          <w:rFonts w:hint="eastAsia" w:ascii="宋体" w:hAnsi="宋体" w:cs="宋体"/>
          <w:sz w:val="21"/>
          <w:szCs w:val="21"/>
        </w:rPr>
        <w:t>所建议的COPE模型的总体框架如图3所示。它包括视觉编码器、文本编码器、融合编码器和域投影层。视觉编码器和文本编码器在三个域中共享，每个域中的域投影层参数不共享。</w:t>
      </w:r>
    </w:p>
    <w:p>
      <w:pPr>
        <w:pStyle w:val="4"/>
        <w:bidi w:val="0"/>
      </w:pPr>
      <w:r>
        <w:rPr>
          <w:rFonts w:hint="eastAsia"/>
        </w:rPr>
        <w:t>建筑设计</w:t>
      </w:r>
    </w:p>
    <w:p>
      <w:pPr>
        <w:rPr>
          <w:rFonts w:hint="eastAsia" w:ascii="宋体" w:hAnsi="宋体" w:cs="宋体"/>
          <w:sz w:val="21"/>
          <w:szCs w:val="21"/>
        </w:rPr>
      </w:pPr>
      <w:r>
        <w:rPr>
          <w:rFonts w:hint="eastAsia" w:ascii="宋体" w:hAnsi="宋体" w:cs="宋体"/>
          <w:sz w:val="21"/>
          <w:szCs w:val="21"/>
        </w:rPr>
        <w:t>如第3.2节所述，我们为每个域提供具有多种模态的训练样本。具体来说，我们为产品领域提供产品标题和图像，而对于短视频和直播领域，我们提供提取的帧和ASR(自动语音识别)文本。COPE模型设计了一个两流管道来处理视觉和文本模式。这些提取的特征被输入到三个特定于领域的投影层中，以获得特定于领域的表示。此外，我们采用融合编码器模块，然后是投影层，以聚合视觉和文本特征。</w:t>
      </w:r>
    </w:p>
    <w:p>
      <w:pPr>
        <w:rPr>
          <w:rFonts w:hint="eastAsia" w:ascii="宋体" w:hAnsi="宋体" w:cs="宋体"/>
          <w:sz w:val="21"/>
          <w:szCs w:val="21"/>
        </w:rPr>
      </w:pPr>
      <w:r>
        <w:rPr>
          <w:rFonts w:hint="eastAsia" w:ascii="宋体" w:hAnsi="宋体" w:cs="宋体"/>
          <w:sz w:val="21"/>
          <w:szCs w:val="21"/>
        </w:rPr>
        <w:t>融合编码器的参数是跨域共享的，而投影层是特定于域的。值得注意的是，我们没有使用ASR文本，</w:t>
      </w:r>
    </w:p>
    <w:p>
      <w:pPr>
        <w:rPr>
          <w:rFonts w:ascii="宋体" w:hAnsi="宋体" w:cs="宋体"/>
          <w:sz w:val="21"/>
          <w:szCs w:val="21"/>
        </w:rPr>
      </w:pPr>
      <w:r>
        <w:rPr>
          <w:rFonts w:hint="eastAsia" w:ascii="宋体" w:hAnsi="宋体" w:cs="宋体"/>
          <w:sz w:val="21"/>
          <w:szCs w:val="21"/>
        </w:rPr>
        <w:t>并且在COPE的初始版本中，我们删除了短视频和直播域的textmodal相关模块。原始ASR文本中过多的噪声信息会对视频和直播流的最终演示产生负面影响。在我们未来的工作中，我们将探索从原始文本中提取与产品相关的关键字来利用ASR文本的可能方法。</w:t>
      </w:r>
    </w:p>
    <w:p>
      <w:pPr>
        <w:spacing w:line="240" w:lineRule="auto"/>
        <w:ind w:firstLine="419" w:firstLineChars="0"/>
        <w:rPr>
          <w:rFonts w:ascii="宋体" w:hAnsi="宋体" w:cs="宋体"/>
          <w:sz w:val="21"/>
          <w:szCs w:val="21"/>
        </w:rPr>
      </w:pPr>
      <w:r>
        <w:rPr>
          <w:rFonts w:hint="eastAsia" w:ascii="宋体" w:hAnsi="宋体" w:cs="宋体"/>
          <w:sz w:val="21"/>
          <w:szCs w:val="21"/>
        </w:rPr>
        <w:t>视觉编码器遵循与</w:t>
      </w:r>
      <w:r>
        <w:rPr>
          <w:rFonts w:hint="eastAsia" w:ascii="Times New Roman" w:hAnsi="Times New Roman" w:eastAsia="宋体" w:cs="Times New Roman"/>
          <w:kern w:val="2"/>
          <w:sz w:val="24"/>
          <w:szCs w:val="24"/>
          <w:vertAlign w:val="superscript"/>
          <w:lang w:val="en-US" w:eastAsia="zh-CN" w:bidi="ar-SA"/>
        </w:rPr>
        <w:t>[21]</w:t>
      </w:r>
      <w:r>
        <w:rPr>
          <w:rFonts w:hint="eastAsia" w:ascii="宋体" w:hAnsi="宋体" w:cs="宋体"/>
          <w:sz w:val="21"/>
          <w:szCs w:val="21"/>
        </w:rPr>
        <w:t>相同的架构，由N个跨帧通信变压器(CCT)模块和一个多帧集成变压器(MIT)模块组成。CCT模块是修改后的ViT</w:t>
      </w:r>
      <w:r>
        <w:rPr>
          <w:rFonts w:hint="eastAsia" w:ascii="Times New Roman" w:hAnsi="Times New Roman" w:eastAsia="宋体" w:cs="Times New Roman"/>
          <w:kern w:val="2"/>
          <w:sz w:val="24"/>
          <w:szCs w:val="24"/>
          <w:vertAlign w:val="superscript"/>
          <w:lang w:val="en-US" w:eastAsia="zh-CN" w:bidi="ar-SA"/>
        </w:rPr>
        <w:t>[9]</w:t>
      </w:r>
      <w:r>
        <w:rPr>
          <w:rFonts w:hint="eastAsia" w:ascii="宋体" w:hAnsi="宋体" w:cs="宋体"/>
          <w:sz w:val="21"/>
          <w:szCs w:val="21"/>
        </w:rPr>
        <w:t>块，通过插入时间编码器来实现时间信息的可交换性。MIT模块位于N堆栈CCT模块的顶部，将帧级特征序列整合到统一的视频表示中。</w:t>
      </w:r>
    </w:p>
    <w:p>
      <w:pPr>
        <w:pStyle w:val="100"/>
        <w:rPr>
          <w:rFonts w:ascii="宋体" w:hAnsi="宋体" w:cs="宋体"/>
          <w:sz w:val="21"/>
          <w:szCs w:val="21"/>
        </w:rPr>
      </w:pPr>
      <w:r>
        <w:rPr>
          <w:rFonts w:hint="eastAsia" w:ascii="宋体" w:hAnsi="宋体" w:cs="宋体"/>
          <w:sz w:val="21"/>
          <w:szCs w:val="21"/>
        </w:rPr>
        <w:t>给定一个输入视频V∈</w:t>
      </w:r>
      <m:oMath>
        <m:sSup>
          <m:sSupPr/>
          <m:e>
            <m:r>
              <m:rPr>
                <m:sty m:val="p"/>
                <m:scr m:val="double-struck"/>
              </m:rPr>
              <m:t>ℝ</m:t>
            </m:r>
          </m:e>
          <m:sup>
            <m:r>
              <m:rPr>
                <m:sty m:val="p"/>
              </m:rPr>
              <w:rPr>
                <w:rFonts w:hint="eastAsia" w:ascii="宋体" w:hAnsi="宋体" w:cs="宋体"/>
                <w:sz w:val="21"/>
                <w:szCs w:val="21"/>
              </w:rPr>
              <m:t>T∗H∗W∗3</m:t>
            </m:r>
          </m:sup>
        </m:sSup>
      </m:oMath>
      <w:r>
        <w:rPr>
          <w:rFonts w:hint="eastAsia" w:ascii="宋体" w:hAnsi="宋体" w:cs="宋体"/>
          <w:sz w:val="21"/>
          <w:szCs w:val="21"/>
        </w:rPr>
        <w:t>(该产品图像可视为只有一帧的视频)，其中T表示帧数。H、W表示视频的空间分辨率;我们将第t帧分割成M个不重叠的小块，</w:t>
      </w:r>
      <m:oMath>
        <m:sSub>
          <m:sSubPr>
            <m:ctrlPr>
              <w:rPr>
                <w:rFonts w:ascii="Cambria Math" w:hAnsi="Cambria Math" w:cs="宋体"/>
                <w:sz w:val="21"/>
                <w:szCs w:val="21"/>
                <w:vertAlign w:val="subscript"/>
              </w:rPr>
            </m:ctrlPr>
          </m:sSubPr>
          <m:e>
            <m:r>
              <m:rPr>
                <m:sty m:val="b"/>
              </m:rPr>
              <w:rPr>
                <w:rFonts w:ascii="Cambria Math" w:hAnsi="Cambria Math" w:cs="宋体"/>
                <w:sz w:val="21"/>
                <w:szCs w:val="21"/>
                <w:vertAlign w:val="subscript"/>
              </w:rPr>
              <m:t>X</m:t>
            </m:r>
            <m:ctrlPr>
              <w:rPr>
                <w:rFonts w:ascii="Cambria Math" w:hAnsi="Cambria Math" w:cs="宋体"/>
                <w:sz w:val="21"/>
                <w:szCs w:val="21"/>
                <w:vertAlign w:val="subscript"/>
              </w:rPr>
            </m:ctrlPr>
          </m:e>
          <m:sub>
            <m:r>
              <m:rPr/>
              <w:rPr>
                <w:rFonts w:ascii="Cambria Math" w:hAnsi="Cambria Math" w:cs="宋体"/>
                <w:sz w:val="21"/>
                <w:szCs w:val="21"/>
                <w:vertAlign w:val="subscript"/>
              </w:rPr>
              <m:t>vis</m:t>
            </m:r>
            <m:ctrlPr>
              <w:rPr>
                <w:rFonts w:ascii="Cambria Math" w:hAnsi="Cambria Math" w:cs="宋体"/>
                <w:sz w:val="21"/>
                <w:szCs w:val="21"/>
                <w:vertAlign w:val="subscript"/>
              </w:rPr>
            </m:ctrlPr>
          </m:sub>
        </m:sSub>
      </m:oMath>
      <w:r>
        <w:rPr>
          <w:rFonts w:hint="eastAsia" w:ascii="宋体" w:hAnsi="宋体" w:cs="宋体"/>
          <w:sz w:val="21"/>
          <w:szCs w:val="21"/>
        </w:rPr>
        <w:t>∈</w:t>
      </w:r>
      <m:oMath>
        <m:sSup>
          <m:sSupPr/>
          <m:e>
            <m:r>
              <m:rPr>
                <m:sty m:val="p"/>
                <m:scr m:val="double-struck"/>
              </m:rPr>
              <m:t>ℝ</m:t>
            </m:r>
          </m:e>
          <m:sup>
            <m:r>
              <m:rPr>
                <m:sty m:val="p"/>
              </m:rPr>
              <w:rPr>
                <w:rFonts w:hint="default" w:ascii="Cambria Math" w:hAnsi="Cambria Math"/>
                <w:lang w:val="en-US" w:eastAsia="zh-CN"/>
              </w:rPr>
              <m:t>M</m:t>
            </m:r>
            <m:r>
              <m:rPr>
                <m:sty m:val="p"/>
              </m:rPr>
              <w:rPr>
                <w:rFonts w:hint="eastAsia" w:ascii="宋体" w:hAnsi="宋体" w:cs="宋体"/>
                <w:sz w:val="21"/>
                <w:szCs w:val="21"/>
              </w:rPr>
              <m:t>∗3</m:t>
            </m:r>
          </m:sup>
        </m:sSup>
      </m:oMath>
      <w:r>
        <w:rPr>
          <w:rFonts w:hint="eastAsia" w:ascii="宋体" w:hAnsi="宋体" w:cs="宋体"/>
          <w:sz w:val="21"/>
          <w:szCs w:val="21"/>
        </w:rPr>
        <w:t>。在patch序列的开头插入可学习类标记，并将空间位置编码添加到patch序列中。在形式上,</w:t>
      </w:r>
    </w:p>
    <w:p>
      <w:pPr>
        <w:ind w:firstLine="419"/>
        <w:rPr>
          <w:rFonts w:ascii="宋体" w:hAnsi="宋体" w:cs="宋体"/>
          <w:sz w:val="21"/>
          <w:szCs w:val="21"/>
          <w:vertAlign w:val="subscript"/>
        </w:rPr>
      </w:pPr>
      <m:oMathPara>
        <m:oMath>
          <m:sSubSup>
            <m:sSubSupPr>
              <m:ctrlPr>
                <w:rPr>
                  <w:rFonts w:ascii="Cambria Math" w:hAnsi="Cambria Math" w:cs="宋体"/>
                  <w:sz w:val="21"/>
                  <w:szCs w:val="21"/>
                  <w:vertAlign w:val="subscript"/>
                </w:rPr>
              </m:ctrlPr>
            </m:sSubSupPr>
            <m:e>
              <m:r>
                <m:rPr>
                  <m:sty m:val="b"/>
                </m:rPr>
                <w:rPr>
                  <w:rFonts w:ascii="Cambria Math" w:hAnsi="Cambria Math" w:cs="宋体"/>
                  <w:sz w:val="21"/>
                  <w:szCs w:val="21"/>
                  <w:vertAlign w:val="subscript"/>
                </w:rPr>
                <m:t>z</m:t>
              </m:r>
              <m:ctrlPr>
                <w:rPr>
                  <w:rFonts w:ascii="Cambria Math" w:hAnsi="Cambria Math" w:cs="宋体"/>
                  <w:sz w:val="21"/>
                  <w:szCs w:val="21"/>
                  <w:vertAlign w:val="subscript"/>
                </w:rPr>
              </m:ctrlPr>
            </m:e>
            <m:sub>
              <m:r>
                <m:rPr/>
                <w:rPr>
                  <w:rFonts w:ascii="Cambria Math" w:hAnsi="Cambria Math" w:cs="宋体"/>
                  <w:sz w:val="21"/>
                  <w:szCs w:val="21"/>
                  <w:vertAlign w:val="subscript"/>
                </w:rPr>
                <m:t>t</m:t>
              </m:r>
              <m:ctrlPr>
                <w:rPr>
                  <w:rFonts w:ascii="Cambria Math" w:hAnsi="Cambria Math" w:cs="宋体"/>
                  <w:sz w:val="21"/>
                  <w:szCs w:val="21"/>
                  <w:vertAlign w:val="subscript"/>
                </w:rPr>
              </m:ctrlPr>
            </m:sub>
            <m:sup>
              <m:r>
                <m:rPr/>
                <w:rPr>
                  <w:rFonts w:ascii="Cambria Math" w:hAnsi="Cambria Math" w:cs="宋体"/>
                  <w:sz w:val="21"/>
                  <w:szCs w:val="21"/>
                  <w:vertAlign w:val="subscript"/>
                </w:rPr>
                <m:t>(0)</m:t>
              </m:r>
              <m:ctrlPr>
                <w:rPr>
                  <w:rFonts w:ascii="Cambria Math" w:hAnsi="Cambria Math" w:cs="宋体"/>
                  <w:sz w:val="21"/>
                  <w:szCs w:val="21"/>
                  <w:vertAlign w:val="subscript"/>
                </w:rPr>
              </m:ctrlPr>
            </m:sup>
          </m:sSubSup>
          <m:r>
            <m:rPr/>
            <w:rPr>
              <w:rFonts w:ascii="Cambria Math" w:hAnsi="Cambria Math" w:cs="宋体"/>
              <w:sz w:val="21"/>
              <w:szCs w:val="21"/>
              <w:vertAlign w:val="subscript"/>
            </w:rPr>
            <m:t>=[</m:t>
          </m:r>
          <m:sSubSup>
            <m:sSubSupPr>
              <m:ctrlPr>
                <w:rPr>
                  <w:rFonts w:ascii="Cambria Math" w:hAnsi="Cambria Math" w:cs="宋体"/>
                  <w:sz w:val="21"/>
                  <w:szCs w:val="21"/>
                  <w:vertAlign w:val="subscript"/>
                </w:rPr>
              </m:ctrlPr>
            </m:sSubSupPr>
            <m:e>
              <m:r>
                <m:rPr/>
                <w:rPr>
                  <w:rFonts w:ascii="Cambria Math" w:hAnsi="Cambria Math" w:cs="宋体"/>
                  <w:sz w:val="21"/>
                  <w:szCs w:val="21"/>
                  <w:vertAlign w:val="subscript"/>
                </w:rPr>
                <m:t>e</m:t>
              </m:r>
              <m:ctrlPr>
                <w:rPr>
                  <w:rFonts w:ascii="Cambria Math" w:hAnsi="Cambria Math" w:cs="宋体"/>
                  <w:sz w:val="21"/>
                  <w:szCs w:val="21"/>
                  <w:vertAlign w:val="subscript"/>
                </w:rPr>
              </m:ctrlPr>
            </m:e>
            <m:sub>
              <m:r>
                <m:rPr/>
                <w:rPr>
                  <w:rFonts w:ascii="Cambria Math" w:hAnsi="Cambria Math" w:cs="宋体"/>
                  <w:sz w:val="21"/>
                  <w:szCs w:val="21"/>
                  <w:vertAlign w:val="subscript"/>
                </w:rPr>
                <m:t>vis</m:t>
              </m:r>
              <m:ctrlPr>
                <w:rPr>
                  <w:rFonts w:ascii="Cambria Math" w:hAnsi="Cambria Math" w:cs="宋体"/>
                  <w:sz w:val="21"/>
                  <w:szCs w:val="21"/>
                  <w:vertAlign w:val="subscript"/>
                </w:rPr>
              </m:ctrlPr>
            </m:sub>
            <m:sup>
              <m:r>
                <m:rPr/>
                <w:rPr>
                  <w:rFonts w:ascii="Cambria Math" w:hAnsi="Cambria Math" w:cs="宋体"/>
                  <w:sz w:val="21"/>
                  <w:szCs w:val="21"/>
                  <w:vertAlign w:val="subscript"/>
                </w:rPr>
                <m:t>cls</m:t>
              </m:r>
              <m:ctrlPr>
                <w:rPr>
                  <w:rFonts w:ascii="Cambria Math" w:hAnsi="Cambria Math" w:cs="宋体"/>
                  <w:sz w:val="21"/>
                  <w:szCs w:val="21"/>
                  <w:vertAlign w:val="subscript"/>
                </w:rPr>
              </m:ctrlPr>
            </m:sup>
          </m:sSubSup>
          <m:r>
            <m:rPr/>
            <w:rPr>
              <w:rFonts w:ascii="Cambria Math" w:hAnsi="Cambria Math" w:cs="宋体"/>
              <w:sz w:val="21"/>
              <w:szCs w:val="21"/>
              <w:vertAlign w:val="subscript"/>
            </w:rPr>
            <m:t>;</m:t>
          </m:r>
          <m:sSub>
            <m:sSubPr>
              <m:ctrlPr>
                <w:rPr>
                  <w:rFonts w:ascii="Cambria Math" w:hAnsi="Cambria Math" w:cs="宋体"/>
                  <w:sz w:val="21"/>
                  <w:szCs w:val="21"/>
                  <w:vertAlign w:val="subscript"/>
                </w:rPr>
              </m:ctrlPr>
            </m:sSubPr>
            <m:e>
              <m:r>
                <m:rPr>
                  <m:sty m:val="b"/>
                </m:rPr>
                <w:rPr>
                  <w:rFonts w:ascii="Cambria Math" w:hAnsi="Cambria Math" w:cs="宋体"/>
                  <w:sz w:val="21"/>
                  <w:szCs w:val="21"/>
                  <w:vertAlign w:val="subscript"/>
                </w:rPr>
                <m:t>X</m:t>
              </m:r>
              <m:ctrlPr>
                <w:rPr>
                  <w:rFonts w:ascii="Cambria Math" w:hAnsi="Cambria Math" w:cs="宋体"/>
                  <w:sz w:val="21"/>
                  <w:szCs w:val="21"/>
                  <w:vertAlign w:val="subscript"/>
                </w:rPr>
              </m:ctrlPr>
            </m:e>
            <m:sub>
              <m:r>
                <m:rPr/>
                <w:rPr>
                  <w:rFonts w:ascii="Cambria Math" w:hAnsi="Cambria Math" w:cs="宋体"/>
                  <w:sz w:val="21"/>
                  <w:szCs w:val="21"/>
                  <w:vertAlign w:val="subscript"/>
                </w:rPr>
                <m:t>vis</m:t>
              </m:r>
              <m:ctrlPr>
                <w:rPr>
                  <w:rFonts w:ascii="Cambria Math" w:hAnsi="Cambria Math" w:cs="宋体"/>
                  <w:sz w:val="21"/>
                  <w:szCs w:val="21"/>
                  <w:vertAlign w:val="subscript"/>
                </w:rPr>
              </m:ctrlPr>
            </m:sub>
          </m:sSub>
          <m:r>
            <m:rPr/>
            <w:rPr>
              <w:rFonts w:ascii="Cambria Math" w:hAnsi="Cambria Math" w:cs="宋体"/>
              <w:sz w:val="21"/>
              <w:szCs w:val="21"/>
              <w:vertAlign w:val="subscript"/>
            </w:rPr>
            <m:t>]+</m:t>
          </m:r>
          <m:sSup>
            <m:sSupPr>
              <m:ctrlPr>
                <w:rPr>
                  <w:rFonts w:ascii="Cambria Math" w:hAnsi="Cambria Math" w:cs="宋体"/>
                  <w:sz w:val="21"/>
                  <w:szCs w:val="21"/>
                  <w:vertAlign w:val="subscript"/>
                </w:rPr>
              </m:ctrlPr>
            </m:sSupPr>
            <m:e>
              <m:r>
                <m:rPr/>
                <w:rPr>
                  <w:rFonts w:ascii="Cambria Math" w:hAnsi="Cambria Math" w:cs="宋体"/>
                  <w:sz w:val="21"/>
                  <w:szCs w:val="21"/>
                  <w:vertAlign w:val="subscript"/>
                </w:rPr>
                <m:t>e</m:t>
              </m:r>
              <m:ctrlPr>
                <w:rPr>
                  <w:rFonts w:ascii="Cambria Math" w:hAnsi="Cambria Math" w:cs="宋体"/>
                  <w:sz w:val="21"/>
                  <w:szCs w:val="21"/>
                  <w:vertAlign w:val="subscript"/>
                </w:rPr>
              </m:ctrlPr>
            </m:e>
            <m:sup>
              <m:r>
                <m:rPr/>
                <w:rPr>
                  <w:rFonts w:ascii="Cambria Math" w:hAnsi="Cambria Math" w:cs="宋体"/>
                  <w:sz w:val="21"/>
                  <w:szCs w:val="21"/>
                  <w:vertAlign w:val="subscript"/>
                </w:rPr>
                <m:t>spa</m:t>
              </m:r>
              <m:ctrlPr>
                <w:rPr>
                  <w:rFonts w:ascii="Cambria Math" w:hAnsi="Cambria Math" w:cs="宋体"/>
                  <w:sz w:val="21"/>
                  <w:szCs w:val="21"/>
                  <w:vertAlign w:val="subscript"/>
                </w:rPr>
              </m:ctrlPr>
            </m:sup>
          </m:sSup>
        </m:oMath>
      </m:oMathPara>
    </w:p>
    <w:p>
      <w:pPr>
        <w:ind w:firstLine="419"/>
        <w:rPr>
          <w:rFonts w:ascii="宋体" w:hAnsi="宋体" w:cs="宋体"/>
          <w:sz w:val="21"/>
          <w:szCs w:val="21"/>
        </w:rPr>
      </w:pPr>
      <w:r>
        <w:rPr>
          <w:rFonts w:hint="eastAsia" w:ascii="宋体" w:hAnsi="宋体" w:cs="宋体"/>
          <w:sz w:val="21"/>
          <w:szCs w:val="21"/>
        </w:rPr>
        <w:t>然后我们将z (0) t输入到N个CCT模块中以获得帧级表示:</w:t>
      </w:r>
    </w:p>
    <w:p>
      <w:pPr>
        <w:ind w:firstLine="419"/>
        <w:rPr>
          <w:rFonts w:ascii="宋体" w:hAnsi="宋体" w:cs="宋体"/>
          <w:sz w:val="21"/>
          <w:szCs w:val="21"/>
        </w:rPr>
      </w:pPr>
      <m:oMathPara>
        <m:oMath>
          <m:eqArr>
            <m:eqArrPr>
              <m:ctrlPr>
                <w:rPr>
                  <w:rFonts w:ascii="Cambria Math" w:hAnsi="Cambria Math" w:cs="宋体"/>
                  <w:sz w:val="21"/>
                  <w:szCs w:val="21"/>
                </w:rPr>
              </m:ctrlPr>
            </m:eqArrPr>
            <m:e>
              <m:sSubSup>
                <m:sSubSupPr>
                  <m:ctrlPr>
                    <w:rPr>
                      <w:rFonts w:ascii="Cambria Math" w:hAnsi="Cambria Math" w:cs="宋体"/>
                      <w:sz w:val="21"/>
                      <w:szCs w:val="21"/>
                    </w:rPr>
                  </m:ctrlPr>
                </m:sSubSupPr>
                <m:e>
                  <m:r>
                    <m:rPr>
                      <m:sty m:val="b"/>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t</m:t>
                  </m:r>
                  <m:ctrlPr>
                    <w:rPr>
                      <w:rFonts w:ascii="Cambria Math" w:hAnsi="Cambria Math" w:cs="宋体"/>
                      <w:sz w:val="21"/>
                      <w:szCs w:val="21"/>
                    </w:rPr>
                  </m:ctrlPr>
                </m:sub>
                <m:sup>
                  <m:r>
                    <m:rPr/>
                    <w:rPr>
                      <w:rFonts w:ascii="Cambria Math" w:hAnsi="Cambria Math" w:cs="宋体"/>
                      <w:sz w:val="21"/>
                      <w:szCs w:val="21"/>
                    </w:rPr>
                    <m:t>(n)</m:t>
                  </m:r>
                  <m:ctrlPr>
                    <w:rPr>
                      <w:rFonts w:ascii="Cambria Math" w:hAnsi="Cambria Math" w:cs="宋体"/>
                      <w:sz w:val="21"/>
                      <w:szCs w:val="21"/>
                    </w:rPr>
                  </m:ctrlPr>
                </m:sup>
              </m:sSubSup>
              <m:r>
                <m:rPr/>
                <w:rPr>
                  <w:rFonts w:ascii="Cambria Math" w:hAnsi="Cambria Math" w:cs="宋体"/>
                  <w:sz w:val="21"/>
                  <w:szCs w:val="21"/>
                </w:rPr>
                <m:t>&amp;=</m:t>
              </m:r>
              <m:sSup>
                <m:sSupPr>
                  <m:ctrlPr>
                    <w:rPr>
                      <w:rFonts w:ascii="Cambria Math" w:hAnsi="Cambria Math" w:cs="宋体"/>
                      <w:sz w:val="21"/>
                      <w:szCs w:val="21"/>
                    </w:rPr>
                  </m:ctrlPr>
                </m:sSupPr>
                <m:e>
                  <m:r>
                    <m:rPr>
                      <m:sty m:val="p"/>
                    </m:rPr>
                    <w:rPr>
                      <w:rFonts w:ascii="Cambria Math" w:hAnsi="Cambria Math" w:cs="宋体"/>
                      <w:sz w:val="21"/>
                      <w:szCs w:val="21"/>
                    </w:rPr>
                    <m:t>CCT</m:t>
                  </m:r>
                  <m:ctrlPr>
                    <w:rPr>
                      <w:rFonts w:ascii="Cambria Math" w:hAnsi="Cambria Math" w:cs="宋体"/>
                      <w:sz w:val="21"/>
                      <w:szCs w:val="21"/>
                    </w:rPr>
                  </m:ctrlPr>
                </m:e>
                <m:sup>
                  <m:r>
                    <m:rPr/>
                    <w:rPr>
                      <w:rFonts w:ascii="Cambria Math" w:hAnsi="Cambria Math" w:cs="宋体"/>
                      <w:sz w:val="21"/>
                      <w:szCs w:val="21"/>
                    </w:rPr>
                    <m:t>(n)</m:t>
                  </m:r>
                  <m:ctrlPr>
                    <w:rPr>
                      <w:rFonts w:ascii="Cambria Math" w:hAnsi="Cambria Math" w:cs="宋体"/>
                      <w:sz w:val="21"/>
                      <w:szCs w:val="21"/>
                    </w:rPr>
                  </m:ctrlPr>
                </m:sup>
              </m:sSup>
              <m:r>
                <m:rPr/>
                <w:rPr>
                  <w:rFonts w:ascii="Cambria Math" w:hAnsi="Cambria Math" w:cs="宋体"/>
                  <w:sz w:val="21"/>
                  <w:szCs w:val="21"/>
                </w:rPr>
                <m:t>(</m:t>
              </m:r>
              <m:sSubSup>
                <m:sSubSupPr>
                  <m:ctrlPr>
                    <w:rPr>
                      <w:rFonts w:ascii="Cambria Math" w:hAnsi="Cambria Math" w:cs="宋体"/>
                      <w:sz w:val="21"/>
                      <w:szCs w:val="21"/>
                    </w:rPr>
                  </m:ctrlPr>
                </m:sSubSupPr>
                <m:e>
                  <m:r>
                    <m:rPr>
                      <m:sty m:val="b"/>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t</m:t>
                  </m:r>
                  <m:ctrlPr>
                    <w:rPr>
                      <w:rFonts w:ascii="Cambria Math" w:hAnsi="Cambria Math" w:cs="宋体"/>
                      <w:sz w:val="21"/>
                      <w:szCs w:val="21"/>
                    </w:rPr>
                  </m:ctrlPr>
                </m:sub>
                <m:sup>
                  <m:r>
                    <m:rPr/>
                    <w:rPr>
                      <w:rFonts w:ascii="Cambria Math" w:hAnsi="Cambria Math" w:cs="宋体"/>
                      <w:sz w:val="21"/>
                      <w:szCs w:val="21"/>
                    </w:rPr>
                    <m:t>(n−1)</m:t>
                  </m:r>
                  <m:ctrlPr>
                    <w:rPr>
                      <w:rFonts w:ascii="Cambria Math" w:hAnsi="Cambria Math" w:cs="宋体"/>
                      <w:sz w:val="21"/>
                      <w:szCs w:val="21"/>
                    </w:rPr>
                  </m:ctrlPr>
                </m:sup>
              </m:sSubSup>
              <m:r>
                <m:rPr/>
                <w:rPr>
                  <w:rFonts w:ascii="Cambria Math" w:hAnsi="Cambria Math" w:cs="宋体"/>
                  <w:sz w:val="21"/>
                  <w:szCs w:val="21"/>
                </w:rPr>
                <m:t>),n=1,...,N</m:t>
              </m:r>
              <m:ctrlPr>
                <w:rPr>
                  <w:rFonts w:ascii="Cambria Math" w:hAnsi="Cambria Math" w:cs="宋体"/>
                  <w:sz w:val="21"/>
                  <w:szCs w:val="21"/>
                </w:rPr>
              </m:ctrlPr>
            </m:e>
            <m:e>
              <m:r>
                <m:rPr/>
                <w:rPr>
                  <w:rFonts w:ascii="Cambria Math" w:hAnsi="Cambria Math" w:cs="宋体"/>
                  <w:sz w:val="21"/>
                  <w:szCs w:val="21"/>
                </w:rPr>
                <m:t>&amp;=[</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t,cls</m:t>
                  </m:r>
                  <m:ctrlPr>
                    <w:rPr>
                      <w:rFonts w:ascii="Cambria Math" w:hAnsi="Cambria Math" w:cs="宋体"/>
                      <w:sz w:val="21"/>
                      <w:szCs w:val="21"/>
                    </w:rPr>
                  </m:ctrlPr>
                </m:sub>
                <m:sup>
                  <m:r>
                    <m:rPr/>
                    <w:rPr>
                      <w:rFonts w:ascii="Cambria Math" w:hAnsi="Cambria Math" w:cs="宋体"/>
                      <w:sz w:val="21"/>
                      <w:szCs w:val="21"/>
                    </w:rPr>
                    <m:t>(n),vis</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t,1</m:t>
                  </m:r>
                  <m:ctrlPr>
                    <w:rPr>
                      <w:rFonts w:ascii="Cambria Math" w:hAnsi="Cambria Math" w:cs="宋体"/>
                      <w:sz w:val="21"/>
                      <w:szCs w:val="21"/>
                    </w:rPr>
                  </m:ctrlPr>
                </m:sub>
                <m:sup>
                  <m:r>
                    <m:rPr/>
                    <w:rPr>
                      <w:rFonts w:ascii="Cambria Math" w:hAnsi="Cambria Math" w:cs="宋体"/>
                      <w:sz w:val="21"/>
                      <w:szCs w:val="21"/>
                    </w:rPr>
                    <m:t>(n),vis</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t,2</m:t>
                  </m:r>
                  <m:ctrlPr>
                    <w:rPr>
                      <w:rFonts w:ascii="Cambria Math" w:hAnsi="Cambria Math" w:cs="宋体"/>
                      <w:sz w:val="21"/>
                      <w:szCs w:val="21"/>
                    </w:rPr>
                  </m:ctrlPr>
                </m:sub>
                <m:sup>
                  <m:r>
                    <m:rPr/>
                    <w:rPr>
                      <w:rFonts w:ascii="Cambria Math" w:hAnsi="Cambria Math" w:cs="宋体"/>
                      <w:sz w:val="21"/>
                      <w:szCs w:val="21"/>
                    </w:rPr>
                    <m:t>(n),vis</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t,M</m:t>
                  </m:r>
                  <m:ctrlPr>
                    <w:rPr>
                      <w:rFonts w:ascii="Cambria Math" w:hAnsi="Cambria Math" w:cs="宋体"/>
                      <w:sz w:val="21"/>
                      <w:szCs w:val="21"/>
                    </w:rPr>
                  </m:ctrlPr>
                </m:sub>
                <m:sup>
                  <m:r>
                    <m:rPr/>
                    <w:rPr>
                      <w:rFonts w:ascii="Cambria Math" w:hAnsi="Cambria Math" w:cs="宋体"/>
                      <w:sz w:val="21"/>
                      <w:szCs w:val="21"/>
                    </w:rPr>
                    <m:t>(n),vis</m:t>
                  </m:r>
                  <m:ctrlPr>
                    <w:rPr>
                      <w:rFonts w:ascii="Cambria Math" w:hAnsi="Cambria Math" w:cs="宋体"/>
                      <w:sz w:val="21"/>
                      <w:szCs w:val="21"/>
                    </w:rPr>
                  </m:ctrlPr>
                </m:sup>
              </m:sSubSup>
              <m:r>
                <m:rPr/>
                <w:rPr>
                  <w:rFonts w:ascii="Cambria Math" w:hAnsi="Cambria Math" w:cs="宋体"/>
                  <w:sz w:val="21"/>
                  <w:szCs w:val="21"/>
                </w:rPr>
                <m:t>]</m:t>
              </m:r>
              <m:ctrlPr>
                <w:rPr>
                  <w:rFonts w:ascii="Cambria Math" w:hAnsi="Cambria Math" w:cs="宋体"/>
                  <w:sz w:val="21"/>
                  <w:szCs w:val="21"/>
                </w:rPr>
              </m:ctrlPr>
            </m:e>
          </m:eqArr>
        </m:oMath>
      </m:oMathPara>
    </w:p>
    <w:p>
      <w:pPr>
        <w:rPr>
          <w:rFonts w:ascii="宋体" w:hAnsi="宋体" w:cs="宋体"/>
          <w:sz w:val="21"/>
          <w:szCs w:val="21"/>
        </w:rPr>
      </w:pPr>
      <w:r>
        <w:rPr>
          <w:rFonts w:hint="eastAsia" w:ascii="宋体" w:hAnsi="宋体" w:cs="宋体"/>
          <w:sz w:val="21"/>
          <w:szCs w:val="21"/>
        </w:rPr>
        <w:t>其中，n为CCT模块索引。</w:t>
      </w:r>
    </w:p>
    <w:p>
      <w:pPr>
        <w:ind w:firstLine="419"/>
        <w:rPr>
          <w:rFonts w:ascii="宋体" w:hAnsi="宋体" w:cs="宋体"/>
          <w:sz w:val="21"/>
          <w:szCs w:val="21"/>
        </w:rPr>
      </w:pPr>
      <w:r>
        <w:rPr>
          <w:rFonts w:hint="eastAsia" w:ascii="宋体" w:hAnsi="宋体" w:cs="宋体"/>
          <w:sz w:val="21"/>
          <w:szCs w:val="21"/>
        </w:rPr>
        <w:t>我们取第N个CCT模块的类标记的最终输出，</w:t>
      </w:r>
      <m:oMath>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t,cls</m:t>
            </m:r>
            <m:ctrlPr>
              <w:rPr>
                <w:rFonts w:ascii="Cambria Math" w:hAnsi="Cambria Math" w:cs="宋体"/>
                <w:sz w:val="21"/>
                <w:szCs w:val="21"/>
              </w:rPr>
            </m:ctrlPr>
          </m:sub>
          <m:sup>
            <m:r>
              <m:rPr/>
              <w:rPr>
                <w:rFonts w:ascii="Cambria Math" w:hAnsi="Cambria Math" w:cs="宋体"/>
                <w:sz w:val="21"/>
                <w:szCs w:val="21"/>
              </w:rPr>
              <m:t>(</m:t>
            </m:r>
            <m:r>
              <m:rPr/>
              <w:rPr>
                <w:rFonts w:hint="default" w:ascii="Cambria Math" w:hAnsi="Cambria Math" w:cs="宋体"/>
                <w:sz w:val="21"/>
                <w:szCs w:val="21"/>
                <w:lang w:val="en-US" w:eastAsia="zh-CN"/>
              </w:rPr>
              <m:t>N</m:t>
            </m:r>
            <m:r>
              <m:rPr/>
              <w:rPr>
                <w:rFonts w:ascii="Cambria Math" w:hAnsi="Cambria Math" w:cs="宋体"/>
                <w:sz w:val="21"/>
                <w:szCs w:val="21"/>
              </w:rPr>
              <m:t>),vis</m:t>
            </m:r>
            <m:ctrlPr>
              <w:rPr>
                <w:rFonts w:ascii="Cambria Math" w:hAnsi="Cambria Math" w:cs="宋体"/>
                <w:sz w:val="21"/>
                <w:szCs w:val="21"/>
              </w:rPr>
            </m:ctrlPr>
          </m:sup>
        </m:sSubSup>
      </m:oMath>
      <w:r>
        <w:rPr>
          <w:rFonts w:hint="eastAsia" w:ascii="宋体" w:hAnsi="宋体" w:cs="宋体"/>
          <w:sz w:val="21"/>
          <w:szCs w:val="21"/>
        </w:rPr>
        <w:t>，来表示第t帧。然后利用MIT模块对帧级特征进行聚合，得到视频的全局表示。在形式上,</w:t>
      </w:r>
    </w:p>
    <w:p>
      <w:pPr>
        <w:ind w:firstLine="419"/>
        <w:rPr>
          <w:rFonts w:ascii="宋体" w:hAnsi="宋体" w:cs="宋体"/>
          <w:sz w:val="21"/>
          <w:szCs w:val="21"/>
        </w:rPr>
      </w:pPr>
      <m:oMathPara>
        <m:oMath>
          <m:sSub>
            <m:sSubPr>
              <m:ctrlPr>
                <w:rPr>
                  <w:rFonts w:ascii="Cambria Math" w:hAnsi="Cambria Math" w:cs="宋体"/>
                  <w:sz w:val="21"/>
                  <w:szCs w:val="21"/>
                </w:rPr>
              </m:ctrlPr>
            </m:sSubPr>
            <m:e>
              <m:r>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Sub>
          <m:r>
            <m:rPr/>
            <w:rPr>
              <w:rFonts w:ascii="Cambria Math" w:hAnsi="Cambria Math" w:cs="宋体"/>
              <w:sz w:val="21"/>
              <w:szCs w:val="21"/>
            </w:rPr>
            <m:t>=</m:t>
          </m:r>
          <m:r>
            <m:rPr>
              <m:sty m:val="p"/>
            </m:rPr>
            <w:rPr>
              <w:rFonts w:ascii="Cambria Math" w:hAnsi="Cambria Math" w:cs="宋体"/>
              <w:sz w:val="21"/>
              <w:szCs w:val="21"/>
            </w:rPr>
            <m:t>AvgPool</m:t>
          </m:r>
          <m:r>
            <m:rPr/>
            <w:rPr>
              <w:rFonts w:ascii="Cambria Math" w:hAnsi="Cambria Math" w:cs="宋体"/>
              <w:sz w:val="21"/>
              <w:szCs w:val="21"/>
            </w:rPr>
            <m:t>(</m:t>
          </m:r>
          <m:r>
            <m:rPr>
              <m:sty m:val="p"/>
            </m:rPr>
            <w:rPr>
              <w:rFonts w:ascii="Cambria Math" w:hAnsi="Cambria Math" w:cs="宋体"/>
              <w:sz w:val="21"/>
              <w:szCs w:val="21"/>
            </w:rPr>
            <m:t>MIT</m:t>
          </m:r>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1,cls</m:t>
              </m:r>
              <m:ctrlPr>
                <w:rPr>
                  <w:rFonts w:ascii="Cambria Math" w:hAnsi="Cambria Math" w:cs="宋体"/>
                  <w:sz w:val="21"/>
                  <w:szCs w:val="21"/>
                </w:rPr>
              </m:ctrlPr>
            </m:sub>
            <m:sup>
              <m:r>
                <m:rPr/>
                <w:rPr>
                  <w:rFonts w:ascii="Cambria Math" w:hAnsi="Cambria Math" w:cs="宋体"/>
                  <w:sz w:val="21"/>
                  <w:szCs w:val="21"/>
                </w:rPr>
                <m:t>(N),vis</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T,cls</m:t>
              </m:r>
              <m:ctrlPr>
                <w:rPr>
                  <w:rFonts w:ascii="Cambria Math" w:hAnsi="Cambria Math" w:cs="宋体"/>
                  <w:sz w:val="21"/>
                  <w:szCs w:val="21"/>
                </w:rPr>
              </m:ctrlPr>
            </m:sub>
            <m:sup>
              <m:r>
                <m:rPr/>
                <w:rPr>
                  <w:rFonts w:ascii="Cambria Math" w:hAnsi="Cambria Math" w:cs="宋体"/>
                  <w:sz w:val="21"/>
                  <w:szCs w:val="21"/>
                </w:rPr>
                <m:t>(N),vis</m:t>
              </m:r>
              <m:ctrlPr>
                <w:rPr>
                  <w:rFonts w:ascii="Cambria Math" w:hAnsi="Cambria Math" w:cs="宋体"/>
                  <w:sz w:val="21"/>
                  <w:szCs w:val="21"/>
                </w:rPr>
              </m:ctrlPr>
            </m:sup>
          </m:sSubSup>
          <m:r>
            <m:rPr/>
            <w:rPr>
              <w:rFonts w:ascii="Cambria Math" w:hAnsi="Cambria Math" w:cs="宋体"/>
              <w:sz w:val="21"/>
              <w:szCs w:val="21"/>
            </w:rPr>
            <m:t>]+</m:t>
          </m:r>
          <m:sSup>
            <m:sSupPr>
              <m:ctrlPr>
                <w:rPr>
                  <w:rFonts w:ascii="Cambria Math" w:hAnsi="Cambria Math" w:cs="宋体"/>
                  <w:sz w:val="21"/>
                  <w:szCs w:val="21"/>
                </w:rPr>
              </m:ctrlPr>
            </m:sSupPr>
            <m:e>
              <m:r>
                <m:rPr/>
                <w:rPr>
                  <w:rFonts w:ascii="Cambria Math" w:hAnsi="Cambria Math" w:cs="宋体"/>
                  <w:sz w:val="21"/>
                  <w:szCs w:val="21"/>
                </w:rPr>
                <m:t>e</m:t>
              </m:r>
              <m:ctrlPr>
                <w:rPr>
                  <w:rFonts w:ascii="Cambria Math" w:hAnsi="Cambria Math" w:cs="宋体"/>
                  <w:sz w:val="21"/>
                  <w:szCs w:val="21"/>
                </w:rPr>
              </m:ctrlPr>
            </m:e>
            <m:sup>
              <m:r>
                <m:rPr/>
                <w:rPr>
                  <w:rFonts w:ascii="Cambria Math" w:hAnsi="Cambria Math" w:cs="宋体"/>
                  <w:sz w:val="21"/>
                  <w:szCs w:val="21"/>
                </w:rPr>
                <m:t>temp</m:t>
              </m:r>
              <m:ctrlPr>
                <w:rPr>
                  <w:rFonts w:ascii="Cambria Math" w:hAnsi="Cambria Math" w:cs="宋体"/>
                  <w:sz w:val="21"/>
                  <w:szCs w:val="21"/>
                </w:rPr>
              </m:ctrlPr>
            </m:sup>
          </m:sSup>
          <m:r>
            <m:rPr/>
            <w:rPr>
              <w:rFonts w:ascii="Cambria Math" w:hAnsi="Cambria Math" w:cs="宋体"/>
              <w:sz w:val="21"/>
              <w:szCs w:val="21"/>
            </w:rPr>
            <m:t>))</m:t>
          </m:r>
        </m:oMath>
      </m:oMathPara>
    </w:p>
    <w:p>
      <w:pPr>
        <w:rPr>
          <w:rFonts w:hint="eastAsia" w:ascii="宋体" w:hAnsi="宋体" w:cs="宋体"/>
          <w:sz w:val="21"/>
          <w:szCs w:val="21"/>
        </w:rPr>
      </w:pPr>
      <w:r>
        <w:rPr>
          <w:rFonts w:hint="eastAsia" w:ascii="宋体" w:hAnsi="宋体" w:cs="宋体"/>
          <w:sz w:val="21"/>
          <w:szCs w:val="21"/>
        </w:rPr>
        <w:t>其中</w:t>
      </w:r>
      <m:oMath>
        <m:r>
          <m:rPr>
            <m:sty m:val="p"/>
          </m:rPr>
          <w:rPr>
            <w:rFonts w:ascii="Cambria Math" w:hAnsi="Cambria Math" w:cs="宋体"/>
            <w:sz w:val="21"/>
            <w:szCs w:val="21"/>
          </w:rPr>
          <m:t>AvgPool</m:t>
        </m:r>
      </m:oMath>
      <w:r>
        <w:rPr>
          <w:rFonts w:hint="eastAsia" w:ascii="宋体" w:hAnsi="宋体" w:cs="宋体"/>
          <w:sz w:val="21"/>
          <w:szCs w:val="21"/>
        </w:rPr>
        <w:t>和</w:t>
      </w:r>
      <m:oMath>
        <m:sSup>
          <m:sSupPr>
            <m:ctrlPr>
              <w:rPr>
                <w:rFonts w:ascii="Cambria Math" w:hAnsi="Cambria Math" w:cs="宋体"/>
                <w:sz w:val="21"/>
                <w:szCs w:val="21"/>
              </w:rPr>
            </m:ctrlPr>
          </m:sSupPr>
          <m:e>
            <m:r>
              <m:rPr/>
              <w:rPr>
                <w:rFonts w:ascii="Cambria Math" w:hAnsi="Cambria Math" w:cs="宋体"/>
                <w:sz w:val="21"/>
                <w:szCs w:val="21"/>
              </w:rPr>
              <m:t>e</m:t>
            </m:r>
            <m:ctrlPr>
              <w:rPr>
                <w:rFonts w:ascii="Cambria Math" w:hAnsi="Cambria Math" w:cs="宋体"/>
                <w:sz w:val="21"/>
                <w:szCs w:val="21"/>
              </w:rPr>
            </m:ctrlPr>
          </m:e>
          <m:sup>
            <m:r>
              <m:rPr/>
              <w:rPr>
                <w:rFonts w:ascii="Cambria Math" w:hAnsi="Cambria Math" w:cs="宋体"/>
                <w:sz w:val="21"/>
                <w:szCs w:val="21"/>
              </w:rPr>
              <m:t>temp</m:t>
            </m:r>
            <m:ctrlPr>
              <w:rPr>
                <w:rFonts w:ascii="Cambria Math" w:hAnsi="Cambria Math" w:cs="宋体"/>
                <w:sz w:val="21"/>
                <w:szCs w:val="21"/>
              </w:rPr>
            </m:ctrlPr>
          </m:sup>
        </m:sSup>
      </m:oMath>
      <w:r>
        <w:rPr>
          <w:rFonts w:hint="eastAsia" w:ascii="宋体" w:hAnsi="宋体" w:cs="宋体"/>
          <w:sz w:val="21"/>
          <w:szCs w:val="21"/>
        </w:rPr>
        <w:t>表示平均池化操作符和时间位置编码;</w:t>
      </w:r>
      <w:r>
        <w:rPr>
          <w:rFonts w:hint="eastAsia"/>
        </w:rPr>
        <w:t xml:space="preserve"> </w:t>
      </w:r>
      <w:r>
        <w:rPr>
          <w:rFonts w:hint="eastAsia" w:ascii="宋体" w:hAnsi="宋体" w:cs="宋体"/>
          <w:sz w:val="21"/>
          <w:szCs w:val="21"/>
        </w:rPr>
        <w:t>分别。</w:t>
      </w:r>
      <m:oMath>
        <m:sSub>
          <m:sSubPr>
            <m:ctrlPr>
              <w:rPr>
                <w:rFonts w:ascii="Cambria Math" w:hAnsi="Cambria Math" w:cs="宋体"/>
                <w:sz w:val="21"/>
                <w:szCs w:val="21"/>
              </w:rPr>
            </m:ctrlPr>
          </m:sSubPr>
          <m:e>
            <m:r>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Sub>
      </m:oMath>
      <w:r>
        <w:rPr>
          <w:rFonts w:hint="eastAsia" w:ascii="宋体" w:hAnsi="宋体" w:cs="宋体"/>
          <w:sz w:val="21"/>
          <w:szCs w:val="21"/>
        </w:rPr>
        <w:t>∈</w:t>
      </w:r>
      <m:oMath>
        <m:sSup>
          <m:sSupPr/>
          <m:e>
            <m:r>
              <m:rPr>
                <m:sty m:val="p"/>
                <m:scr m:val="double-struck"/>
              </m:rPr>
              <m:t>ℝ</m:t>
            </m:r>
          </m:e>
          <m:sup>
            <m:r>
              <m:rPr>
                <m:sty m:val="p"/>
              </m:rPr>
              <w:rPr>
                <w:rFonts w:hint="default" w:ascii="Cambria Math" w:hAnsi="Cambria Math"/>
                <w:lang w:val="en-US" w:eastAsia="zh-CN"/>
              </w:rPr>
              <m:t>d</m:t>
            </m:r>
          </m:sup>
        </m:sSup>
      </m:oMath>
      <w:r>
        <w:rPr>
          <w:rFonts w:hint="eastAsia" w:ascii="宋体" w:hAnsi="宋体" w:cs="宋体"/>
          <w:sz w:val="21"/>
          <w:szCs w:val="21"/>
        </w:rPr>
        <w:t>作为输入产品图像或视频的视觉表示。</w:t>
      </w:r>
    </w:p>
    <w:p>
      <w:pPr>
        <w:ind w:firstLine="419"/>
        <w:rPr>
          <w:rFonts w:hint="eastAsia" w:ascii="宋体" w:hAnsi="宋体" w:cs="宋体"/>
          <w:sz w:val="21"/>
          <w:szCs w:val="21"/>
        </w:rPr>
      </w:pPr>
      <w:r>
        <w:rPr>
          <w:rFonts w:hint="eastAsia" w:ascii="宋体" w:hAnsi="宋体" w:cs="宋体"/>
          <w:sz w:val="21"/>
          <w:szCs w:val="21"/>
        </w:rPr>
        <w:t>文本编码器是一个三层RoBERTa</w:t>
      </w:r>
      <w:r>
        <w:rPr>
          <w:rFonts w:hint="eastAsia" w:ascii="Times New Roman" w:hAnsi="Times New Roman" w:eastAsia="宋体" w:cs="Times New Roman"/>
          <w:kern w:val="2"/>
          <w:sz w:val="24"/>
          <w:szCs w:val="24"/>
          <w:vertAlign w:val="superscript"/>
          <w:lang w:val="en-US" w:eastAsia="zh-CN" w:bidi="ar-SA"/>
        </w:rPr>
        <w:t>[7,15]</w:t>
      </w:r>
      <w:r>
        <w:rPr>
          <w:rFonts w:hint="eastAsia" w:ascii="宋体" w:hAnsi="宋体" w:cs="宋体"/>
          <w:sz w:val="21"/>
          <w:szCs w:val="21"/>
        </w:rPr>
        <w:t>模型。</w:t>
      </w:r>
    </w:p>
    <w:p>
      <w:pPr>
        <w:pStyle w:val="100"/>
        <w:rPr>
          <w:rFonts w:ascii="宋体" w:hAnsi="宋体" w:cs="宋体"/>
          <w:sz w:val="21"/>
          <w:szCs w:val="21"/>
        </w:rPr>
      </w:pPr>
      <w:r>
        <w:rPr>
          <w:rFonts w:hint="eastAsia" w:ascii="宋体" w:hAnsi="宋体" w:cs="宋体"/>
          <w:sz w:val="21"/>
          <w:szCs w:val="21"/>
        </w:rPr>
        <w:t>首先对输入的原始文本进行标记并定义为</w:t>
      </w:r>
      <m:oMath>
        <m:sSub>
          <m:sSubPr>
            <m:ctrlPr>
              <w:rPr>
                <w:rFonts w:ascii="Cambria Math" w:hAnsi="Cambria Math" w:cs="宋体"/>
                <w:sz w:val="21"/>
                <w:szCs w:val="21"/>
              </w:rPr>
            </m:ctrlPr>
          </m:sSubPr>
          <m:e>
            <m:r>
              <m:rPr>
                <m:nor/>
                <m:sty m:val="p"/>
              </m:rPr>
              <w:rPr>
                <w:rFonts w:ascii="宋体" w:hAnsi="宋体" w:cs="宋体"/>
                <w:b w:val="0"/>
                <w:i w:val="0"/>
                <w:sz w:val="21"/>
                <w:szCs w:val="21"/>
              </w:rPr>
              <m:t xml:space="preserve"> X</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Sub>
      </m:oMath>
      <w:r>
        <w:rPr>
          <w:rFonts w:hint="eastAsia" w:ascii="宋体" w:hAnsi="宋体" w:cs="宋体"/>
          <w:sz w:val="21"/>
          <w:szCs w:val="21"/>
        </w:rPr>
        <w:t>∈</w:t>
      </w:r>
      <m:oMath>
        <m:sSup>
          <m:sSupPr/>
          <m:e>
            <m:r>
              <m:rPr>
                <m:sty m:val="p"/>
                <m:scr m:val="double-struck"/>
              </m:rPr>
              <m:t>ℝ</m:t>
            </m:r>
          </m:e>
          <m:sup>
            <m:r>
              <m:rPr/>
              <w:rPr>
                <w:rFonts w:hint="default" w:ascii="Cambria Math" w:hAnsi="Cambria Math"/>
                <w:lang w:val="en-US" w:eastAsia="zh-CN"/>
              </w:rPr>
              <m:t>L</m:t>
            </m:r>
          </m:sup>
        </m:sSup>
      </m:oMath>
      <w:r>
        <w:rPr>
          <w:rFonts w:hint="eastAsia" w:ascii="宋体" w:hAnsi="宋体" w:cs="宋体"/>
          <w:sz w:val="21"/>
          <w:szCs w:val="21"/>
        </w:rPr>
        <w:t>，其中L表示标记序列的长度。然后在序列的开头插入类标记，并添加位置嵌入来重新训练位置信息。最终获得的文本序列被输入文本编码器以提取文本表示。在形式上,</w:t>
      </w:r>
    </w:p>
    <w:p>
      <w:pPr>
        <w:ind w:firstLine="419"/>
        <w:rPr>
          <w:rFonts w:ascii="宋体" w:hAnsi="宋体" w:cs="宋体"/>
          <w:sz w:val="21"/>
          <w:szCs w:val="21"/>
        </w:rPr>
      </w:pPr>
      <m:oMathPara>
        <m:oMath>
          <m:eqArr>
            <m:eqArrPr>
              <m:ctrlPr>
                <w:rPr>
                  <w:rFonts w:ascii="Cambria Math" w:hAnsi="Cambria Math" w:cs="宋体"/>
                  <w:sz w:val="21"/>
                  <w:szCs w:val="21"/>
                </w:rPr>
              </m:ctrlPr>
            </m:eqArrPr>
            <m:e>
              <m:sSub>
                <m:sSubPr>
                  <m:ctrlPr>
                    <w:rPr>
                      <w:rFonts w:ascii="Cambria Math" w:hAnsi="Cambria Math" w:cs="宋体"/>
                      <w:sz w:val="21"/>
                      <w:szCs w:val="21"/>
                    </w:rPr>
                  </m:ctrlPr>
                </m:sSubPr>
                <m:e>
                  <m:r>
                    <m:rPr>
                      <m:sty m:val="b"/>
                    </m:rPr>
                    <w:rPr>
                      <w:rFonts w:ascii="Cambria Math" w:hAnsi="Cambria Math" w:cs="宋体"/>
                      <w:sz w:val="21"/>
                      <w:szCs w:val="21"/>
                    </w:rPr>
                    <m:t>H</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Sub>
              <m:r>
                <m:rPr/>
                <w:rPr>
                  <w:rFonts w:ascii="Cambria Math" w:hAnsi="Cambria Math" w:cs="宋体"/>
                  <w:sz w:val="21"/>
                  <w:szCs w:val="21"/>
                </w:rPr>
                <m:t>=</m:t>
              </m:r>
              <m:r>
                <m:rPr>
                  <m:sty m:val="p"/>
                </m:rPr>
                <w:rPr>
                  <w:rFonts w:ascii="Cambria Math" w:hAnsi="Cambria Math" w:cs="宋体"/>
                  <w:sz w:val="21"/>
                  <w:szCs w:val="21"/>
                </w:rPr>
                <m:t>RoBERTa</m:t>
              </m:r>
              <m:r>
                <m:rPr/>
                <w:rPr>
                  <w:rFonts w:ascii="Cambria Math" w:hAnsi="Cambria Math" w:cs="宋体"/>
                  <w:sz w:val="21"/>
                  <w:szCs w:val="21"/>
                </w:rPr>
                <m:t>([</m:t>
              </m:r>
              <m:sSup>
                <m:sSupPr>
                  <m:ctrlPr>
                    <w:rPr>
                      <w:rFonts w:ascii="Cambria Math" w:hAnsi="Cambria Math" w:cs="宋体"/>
                      <w:sz w:val="21"/>
                      <w:szCs w:val="21"/>
                    </w:rPr>
                  </m:ctrlPr>
                </m:sSupPr>
                <m:e>
                  <m:r>
                    <m:rPr/>
                    <w:rPr>
                      <w:rFonts w:ascii="Cambria Math" w:hAnsi="Cambria Math" w:cs="宋体"/>
                      <w:sz w:val="21"/>
                      <w:szCs w:val="21"/>
                    </w:rPr>
                    <m:t>e</m:t>
                  </m:r>
                  <m:ctrlPr>
                    <w:rPr>
                      <w:rFonts w:ascii="Cambria Math" w:hAnsi="Cambria Math" w:cs="宋体"/>
                      <w:sz w:val="21"/>
                      <w:szCs w:val="21"/>
                    </w:rPr>
                  </m:ctrlPr>
                </m:e>
                <m:sup>
                  <m:r>
                    <m:rPr/>
                    <w:rPr>
                      <w:rFonts w:ascii="Cambria Math" w:hAnsi="Cambria Math" w:cs="宋体"/>
                      <w:sz w:val="21"/>
                      <w:szCs w:val="21"/>
                    </w:rPr>
                    <m:t>cls</m:t>
                  </m:r>
                  <m:ctrlPr>
                    <w:rPr>
                      <w:rFonts w:ascii="Cambria Math" w:hAnsi="Cambria Math" w:cs="宋体"/>
                      <w:sz w:val="21"/>
                      <w:szCs w:val="21"/>
                    </w:rPr>
                  </m:ctrlPr>
                </m:sup>
              </m:sSup>
              <m:r>
                <m:rPr/>
                <w:rPr>
                  <w:rFonts w:ascii="Cambria Math" w:hAnsi="Cambria Math" w:cs="宋体"/>
                  <w:sz w:val="21"/>
                  <w:szCs w:val="21"/>
                </w:rPr>
                <m:t>;</m:t>
              </m:r>
              <m:sSub>
                <m:sSubPr>
                  <m:ctrlPr>
                    <w:rPr>
                      <w:rFonts w:ascii="Cambria Math" w:hAnsi="Cambria Math" w:cs="宋体"/>
                      <w:sz w:val="21"/>
                      <w:szCs w:val="21"/>
                    </w:rPr>
                  </m:ctrlPr>
                </m:sSubPr>
                <m:e>
                  <m:r>
                    <m:rPr>
                      <m:nor/>
                      <m:sty m:val="p"/>
                    </m:rPr>
                    <w:rPr>
                      <w:rFonts w:ascii="宋体" w:hAnsi="宋体" w:cs="宋体"/>
                      <w:b w:val="0"/>
                      <w:i w:val="0"/>
                      <w:sz w:val="21"/>
                      <w:szCs w:val="21"/>
                    </w:rPr>
                    <m:t xml:space="preserve"> X</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Sub>
              <m:r>
                <m:rPr/>
                <w:rPr>
                  <w:rFonts w:ascii="Cambria Math" w:hAnsi="Cambria Math" w:cs="宋体"/>
                  <w:sz w:val="21"/>
                  <w:szCs w:val="21"/>
                </w:rPr>
                <m:t>]+</m:t>
              </m:r>
              <m:sSup>
                <m:sSupPr>
                  <m:ctrlPr>
                    <w:rPr>
                      <w:rFonts w:ascii="Cambria Math" w:hAnsi="Cambria Math" w:cs="宋体"/>
                      <w:sz w:val="21"/>
                      <w:szCs w:val="21"/>
                    </w:rPr>
                  </m:ctrlPr>
                </m:sSupPr>
                <m:e>
                  <m:r>
                    <m:rPr/>
                    <w:rPr>
                      <w:rFonts w:ascii="Cambria Math" w:hAnsi="Cambria Math" w:cs="宋体"/>
                      <w:sz w:val="21"/>
                      <w:szCs w:val="21"/>
                    </w:rPr>
                    <m:t>e</m:t>
                  </m:r>
                  <m:ctrlPr>
                    <w:rPr>
                      <w:rFonts w:ascii="Cambria Math" w:hAnsi="Cambria Math" w:cs="宋体"/>
                      <w:sz w:val="21"/>
                      <w:szCs w:val="21"/>
                    </w:rPr>
                  </m:ctrlPr>
                </m:e>
                <m:sup>
                  <m:r>
                    <m:rPr/>
                    <w:rPr>
                      <w:rFonts w:ascii="Cambria Math" w:hAnsi="Cambria Math" w:cs="宋体"/>
                      <w:sz w:val="21"/>
                      <w:szCs w:val="21"/>
                    </w:rPr>
                    <m:t>pos</m:t>
                  </m:r>
                  <m:ctrlPr>
                    <w:rPr>
                      <w:rFonts w:ascii="Cambria Math" w:hAnsi="Cambria Math" w:cs="宋体"/>
                      <w:sz w:val="21"/>
                      <w:szCs w:val="21"/>
                    </w:rPr>
                  </m:ctrlPr>
                </m:sup>
              </m:sSup>
              <m:r>
                <m:rPr/>
                <w:rPr>
                  <w:rFonts w:ascii="Cambria Math" w:hAnsi="Cambria Math" w:cs="宋体"/>
                  <w:sz w:val="21"/>
                  <w:szCs w:val="21"/>
                </w:rPr>
                <m:t>)</m:t>
              </m:r>
              <m:ctrlPr>
                <w:rPr>
                  <w:rFonts w:ascii="Cambria Math" w:hAnsi="Cambria Math" w:cs="宋体"/>
                  <w:sz w:val="21"/>
                  <w:szCs w:val="21"/>
                </w:rPr>
              </m:ctrlPr>
            </m:e>
            <m:e>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cls</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1</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2</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L</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r>
                <m:rPr/>
                <w:rPr>
                  <w:rFonts w:ascii="Cambria Math" w:hAnsi="Cambria Math" w:cs="宋体"/>
                  <w:sz w:val="21"/>
                  <w:szCs w:val="21"/>
                </w:rPr>
                <m:t>]</m:t>
              </m:r>
              <m:ctrlPr>
                <w:rPr>
                  <w:rFonts w:ascii="Cambria Math" w:hAnsi="Cambria Math" w:cs="宋体"/>
                  <w:sz w:val="21"/>
                  <w:szCs w:val="21"/>
                </w:rPr>
              </m:ctrlPr>
            </m:e>
          </m:eqArr>
        </m:oMath>
      </m:oMathPara>
    </w:p>
    <w:p>
      <w:pPr>
        <w:rPr>
          <w:rFonts w:hint="eastAsia" w:ascii="宋体" w:hAnsi="宋体" w:cs="宋体"/>
          <w:sz w:val="21"/>
          <w:szCs w:val="21"/>
        </w:rPr>
      </w:pPr>
      <w:r>
        <w:rPr>
          <w:rFonts w:hint="eastAsia" w:ascii="宋体" w:hAnsi="宋体" w:cs="宋体"/>
          <w:sz w:val="21"/>
          <w:szCs w:val="21"/>
        </w:rPr>
        <w:t>其中</w:t>
      </w:r>
      <m:oMath>
        <m:sSup>
          <m:sSupPr>
            <m:ctrlPr>
              <w:rPr>
                <w:rFonts w:ascii="Cambria Math" w:hAnsi="Cambria Math" w:cs="宋体"/>
                <w:sz w:val="21"/>
                <w:szCs w:val="21"/>
              </w:rPr>
            </m:ctrlPr>
          </m:sSupPr>
          <m:e>
            <m:r>
              <m:rPr/>
              <w:rPr>
                <w:rFonts w:ascii="Cambria Math" w:hAnsi="Cambria Math" w:cs="宋体"/>
                <w:sz w:val="21"/>
                <w:szCs w:val="21"/>
              </w:rPr>
              <m:t>e</m:t>
            </m:r>
            <m:ctrlPr>
              <w:rPr>
                <w:rFonts w:ascii="Cambria Math" w:hAnsi="Cambria Math" w:cs="宋体"/>
                <w:sz w:val="21"/>
                <w:szCs w:val="21"/>
              </w:rPr>
            </m:ctrlPr>
          </m:e>
          <m:sup>
            <m:r>
              <m:rPr/>
              <w:rPr>
                <w:rFonts w:ascii="Cambria Math" w:hAnsi="Cambria Math" w:cs="宋体"/>
                <w:sz w:val="21"/>
                <w:szCs w:val="21"/>
              </w:rPr>
              <m:t>cls</m:t>
            </m:r>
            <m:ctrlPr>
              <w:rPr>
                <w:rFonts w:ascii="Cambria Math" w:hAnsi="Cambria Math" w:cs="宋体"/>
                <w:sz w:val="21"/>
                <w:szCs w:val="21"/>
              </w:rPr>
            </m:ctrlPr>
          </m:sup>
        </m:sSup>
      </m:oMath>
      <w:r>
        <w:rPr>
          <w:rFonts w:hint="eastAsia" w:ascii="宋体" w:hAnsi="宋体" w:cs="宋体"/>
          <w:sz w:val="21"/>
          <w:szCs w:val="21"/>
        </w:rPr>
        <w:t>和</w:t>
      </w:r>
      <m:oMath>
        <m:sSup>
          <m:sSupPr>
            <m:ctrlPr>
              <w:rPr>
                <w:rFonts w:ascii="Cambria Math" w:hAnsi="Cambria Math" w:cs="宋体"/>
                <w:sz w:val="21"/>
                <w:szCs w:val="21"/>
              </w:rPr>
            </m:ctrlPr>
          </m:sSupPr>
          <m:e>
            <m:r>
              <m:rPr/>
              <w:rPr>
                <w:rFonts w:ascii="Cambria Math" w:hAnsi="Cambria Math" w:cs="宋体"/>
                <w:sz w:val="21"/>
                <w:szCs w:val="21"/>
              </w:rPr>
              <m:t>e</m:t>
            </m:r>
            <m:ctrlPr>
              <w:rPr>
                <w:rFonts w:ascii="Cambria Math" w:hAnsi="Cambria Math" w:cs="宋体"/>
                <w:sz w:val="21"/>
                <w:szCs w:val="21"/>
              </w:rPr>
            </m:ctrlPr>
          </m:e>
          <m:sup>
            <m:r>
              <m:rPr/>
              <w:rPr>
                <w:rFonts w:ascii="Cambria Math" w:hAnsi="Cambria Math" w:cs="宋体"/>
                <w:sz w:val="21"/>
                <w:szCs w:val="21"/>
              </w:rPr>
              <m:t>pos</m:t>
            </m:r>
            <m:ctrlPr>
              <w:rPr>
                <w:rFonts w:ascii="Cambria Math" w:hAnsi="Cambria Math" w:cs="宋体"/>
                <w:sz w:val="21"/>
                <w:szCs w:val="21"/>
              </w:rPr>
            </m:ctrlPr>
          </m:sup>
        </m:sSup>
      </m:oMath>
      <w:r>
        <w:rPr>
          <w:rFonts w:hint="eastAsia" w:ascii="宋体" w:hAnsi="宋体" w:cs="宋体"/>
          <w:sz w:val="21"/>
          <w:szCs w:val="21"/>
        </w:rPr>
        <w:t>分别表示输入类标记嵌入和位置嵌入。</w:t>
      </w:r>
      <m:oMath>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cls</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oMath>
      <w:r>
        <w:rPr>
          <w:rFonts w:hint="eastAsia" w:ascii="宋体" w:hAnsi="宋体" w:cs="宋体"/>
          <w:sz w:val="21"/>
          <w:szCs w:val="21"/>
        </w:rPr>
        <w:t>∈</w:t>
      </w:r>
      <m:oMath>
        <m:sSup>
          <m:sSupPr/>
          <m:e>
            <m:r>
              <m:rPr>
                <m:sty m:val="p"/>
                <m:scr m:val="double-struck"/>
              </m:rPr>
              <m:t>ℝ</m:t>
            </m:r>
          </m:e>
          <m:sup>
            <m:r>
              <m:rPr>
                <m:sty m:val="p"/>
              </m:rPr>
              <w:rPr>
                <w:rFonts w:hint="default" w:ascii="Cambria Math" w:hAnsi="Cambria Math"/>
                <w:lang w:val="en-US" w:eastAsia="zh-CN"/>
              </w:rPr>
              <m:t>d</m:t>
            </m:r>
          </m:sup>
        </m:sSup>
      </m:oMath>
      <w:r>
        <w:rPr>
          <w:rFonts w:hint="eastAsia" w:ascii="宋体" w:hAnsi="宋体" w:cs="宋体"/>
          <w:sz w:val="21"/>
          <w:szCs w:val="21"/>
        </w:rPr>
        <w:t>表示提取的类令牌特征。我们使用</w:t>
      </w:r>
      <m:oMath>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cls</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oMath>
      <w:r>
        <w:rPr>
          <w:rFonts w:hint="eastAsia" w:ascii="宋体" w:hAnsi="宋体" w:cs="宋体"/>
          <w:sz w:val="21"/>
          <w:szCs w:val="21"/>
        </w:rPr>
        <w:t>类作为输入原始文本的文本表示。</w:t>
      </w:r>
    </w:p>
    <w:p>
      <w:pPr>
        <w:ind w:firstLine="419"/>
        <w:rPr>
          <w:rFonts w:ascii="宋体" w:hAnsi="宋体" w:cs="宋体"/>
          <w:sz w:val="21"/>
          <w:szCs w:val="21"/>
        </w:rPr>
      </w:pPr>
      <w:r>
        <w:rPr>
          <w:rFonts w:hint="eastAsia" w:ascii="宋体" w:hAnsi="宋体" w:cs="宋体"/>
          <w:sz w:val="21"/>
          <w:szCs w:val="21"/>
        </w:rPr>
        <w:t>使用共享的视觉和文本编码器提取三个域的视觉表示</w:t>
      </w:r>
      <m:oMath>
        <m:sSub>
          <m:sSubPr>
            <m:ctrlPr>
              <w:rPr>
                <w:rFonts w:ascii="Cambria Math" w:hAnsi="Cambria Math" w:cs="宋体"/>
                <w:sz w:val="21"/>
                <w:szCs w:val="21"/>
              </w:rPr>
            </m:ctrlPr>
          </m:sSubPr>
          <m:e>
            <m:r>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Sub>
      </m:oMath>
      <w:r>
        <w:rPr>
          <w:rFonts w:hint="eastAsia" w:ascii="宋体" w:hAnsi="宋体" w:cs="宋体"/>
          <w:sz w:val="21"/>
          <w:szCs w:val="21"/>
        </w:rPr>
        <w:t>和文本表示</w:t>
      </w:r>
      <m:oMath>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cls</m:t>
            </m:r>
            <m:ctrlPr>
              <w:rPr>
                <w:rFonts w:ascii="Cambria Math" w:hAnsi="Cambria Math" w:cs="宋体"/>
                <w:sz w:val="21"/>
                <w:szCs w:val="21"/>
              </w:rPr>
            </m:ctrlPr>
          </m:sub>
          <m:sup>
            <m:r>
              <m:rPr/>
              <w:rPr>
                <w:rFonts w:ascii="Cambria Math" w:hAnsi="Cambria Math" w:cs="宋体"/>
                <w:sz w:val="21"/>
                <w:szCs w:val="21"/>
              </w:rPr>
              <m:t>txt</m:t>
            </m:r>
            <m:ctrlPr>
              <w:rPr>
                <w:rFonts w:ascii="Cambria Math" w:hAnsi="Cambria Math" w:cs="宋体"/>
                <w:sz w:val="21"/>
                <w:szCs w:val="21"/>
              </w:rPr>
            </m:ctrlPr>
          </m:sup>
        </m:sSubSup>
      </m:oMath>
      <w:r>
        <w:rPr>
          <w:rFonts w:hint="eastAsia" w:ascii="宋体" w:hAnsi="宋体" w:cs="宋体"/>
          <w:sz w:val="21"/>
          <w:szCs w:val="21"/>
        </w:rPr>
        <w:t>类，尽管不同域的样本差异很大。该方案有望提高基本特征提取器的泛化能力。通过利用不同的投影层将一般表示转换为特定于领域的表示，保留和放大每个领域的特征。对于每个域，投影层是一个权值为W，偏置为b的线性层，得到域特定表示为:</w:t>
      </w:r>
    </w:p>
    <w:p>
      <w:pPr>
        <w:ind w:firstLine="419"/>
        <w:rPr>
          <w:rFonts w:ascii="宋体" w:hAnsi="宋体" w:cs="宋体"/>
          <w:sz w:val="21"/>
          <w:szCs w:val="21"/>
        </w:rPr>
      </w:pPr>
      <m:oMathPara>
        <m:oMath>
          <m:eqArr>
            <m:eqArrPr>
              <m:ctrlPr>
                <w:rPr>
                  <w:rFonts w:ascii="Cambria Math" w:hAnsi="Cambria Math" w:cs="宋体"/>
                  <w:sz w:val="21"/>
                  <w:szCs w:val="21"/>
                </w:rPr>
              </m:ctrlPr>
            </m:eqArrPr>
            <m:e>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m:sty m:val="b"/>
                    </m:rPr>
                    <w:rPr>
                      <w:rFonts w:ascii="Cambria Math" w:hAnsi="Cambria Math" w:cs="宋体"/>
                      <w:sz w:val="21"/>
                      <w:szCs w:val="21"/>
                    </w:rPr>
                    <m:t>W</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sSubSup>
                <m:sSubSupPr>
                  <m:ctrlPr>
                    <w:rPr>
                      <w:rFonts w:ascii="Cambria Math" w:hAnsi="Cambria Math" w:cs="宋体"/>
                      <w:sz w:val="21"/>
                      <w:szCs w:val="21"/>
                    </w:rPr>
                  </m:ctrlPr>
                </m:sSubSupPr>
                <m:e>
                  <m:r>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b</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ctrlPr>
                <w:rPr>
                  <w:rFonts w:ascii="Cambria Math" w:hAnsi="Cambria Math" w:cs="宋体"/>
                  <w:sz w:val="21"/>
                  <w:szCs w:val="21"/>
                </w:rPr>
              </m:ctrlPr>
            </m:e>
            <m:e>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m:sty m:val="b"/>
                    </m:rPr>
                    <w:rPr>
                      <w:rFonts w:ascii="Cambria Math" w:hAnsi="Cambria Math" w:cs="宋体"/>
                      <w:sz w:val="21"/>
                      <w:szCs w:val="21"/>
                    </w:rPr>
                    <m:t>W</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sSubSup>
                <m:sSubSupPr>
                  <m:ctrlPr>
                    <w:rPr>
                      <w:rFonts w:ascii="Cambria Math" w:hAnsi="Cambria Math" w:cs="宋体"/>
                      <w:sz w:val="21"/>
                      <w:szCs w:val="21"/>
                    </w:rPr>
                  </m:ctrlPr>
                </m:sSubSupPr>
                <m:e>
                  <m:r>
                    <m:rPr/>
                    <w:rPr>
                      <w:rFonts w:ascii="Cambria Math" w:hAnsi="Cambria Math" w:cs="宋体"/>
                      <w:sz w:val="21"/>
                      <w:szCs w:val="21"/>
                    </w:rPr>
                    <m:t>ℎ</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b</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ctrlPr>
                <w:rPr>
                  <w:rFonts w:ascii="Cambria Math" w:hAnsi="Cambria Math" w:cs="宋体"/>
                  <w:sz w:val="21"/>
                  <w:szCs w:val="21"/>
                </w:rPr>
              </m:ctrlPr>
            </m:e>
            <m:e>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V</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m:sty m:val="b"/>
                    </m:rPr>
                    <w:rPr>
                      <w:rFonts w:ascii="Cambria Math" w:hAnsi="Cambria Math" w:cs="宋体"/>
                      <w:sz w:val="21"/>
                      <w:szCs w:val="21"/>
                    </w:rPr>
                    <m:t>W</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V</m:t>
                  </m:r>
                  <m:ctrlPr>
                    <w:rPr>
                      <w:rFonts w:ascii="Cambria Math" w:hAnsi="Cambria Math" w:cs="宋体"/>
                      <w:sz w:val="21"/>
                      <w:szCs w:val="21"/>
                    </w:rPr>
                  </m:ctrlPr>
                </m:sup>
              </m:sSubSup>
              <m:sSubSup>
                <m:sSubSupPr>
                  <m:ctrlPr>
                    <w:rPr>
                      <w:rFonts w:ascii="Cambria Math" w:hAnsi="Cambria Math" w:cs="宋体"/>
                      <w:sz w:val="21"/>
                      <w:szCs w:val="21"/>
                    </w:rPr>
                  </m:ctrlPr>
                </m:sSubSupPr>
                <m:e>
                  <m:r>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V</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b</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V</m:t>
                  </m:r>
                  <m:ctrlPr>
                    <w:rPr>
                      <w:rFonts w:ascii="Cambria Math" w:hAnsi="Cambria Math" w:cs="宋体"/>
                      <w:sz w:val="21"/>
                      <w:szCs w:val="21"/>
                    </w:rPr>
                  </m:ctrlPr>
                </m:sup>
              </m:sSubSup>
              <m:ctrlPr>
                <w:rPr>
                  <w:rFonts w:ascii="Cambria Math" w:hAnsi="Cambria Math" w:cs="宋体"/>
                  <w:sz w:val="21"/>
                  <w:szCs w:val="21"/>
                </w:rPr>
              </m:ctrlPr>
            </m:e>
            <m:e>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L</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m:sty m:val="b"/>
                    </m:rPr>
                    <w:rPr>
                      <w:rFonts w:ascii="Cambria Math" w:hAnsi="Cambria Math" w:cs="宋体"/>
                      <w:sz w:val="21"/>
                      <w:szCs w:val="21"/>
                    </w:rPr>
                    <m:t>W</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L</m:t>
                  </m:r>
                  <m:ctrlPr>
                    <w:rPr>
                      <w:rFonts w:ascii="Cambria Math" w:hAnsi="Cambria Math" w:cs="宋体"/>
                      <w:sz w:val="21"/>
                      <w:szCs w:val="21"/>
                    </w:rPr>
                  </m:ctrlPr>
                </m:sup>
              </m:sSubSup>
              <m:sSubSup>
                <m:sSubSupPr>
                  <m:ctrlPr>
                    <w:rPr>
                      <w:rFonts w:ascii="Cambria Math" w:hAnsi="Cambria Math" w:cs="宋体"/>
                      <w:sz w:val="21"/>
                      <w:szCs w:val="21"/>
                    </w:rPr>
                  </m:ctrlPr>
                </m:sSubSupPr>
                <m:e>
                  <m:r>
                    <m:rPr/>
                    <w:rPr>
                      <w:rFonts w:ascii="Cambria Math" w:hAnsi="Cambria Math" w:cs="宋体"/>
                      <w:sz w:val="21"/>
                      <w:szCs w:val="21"/>
                    </w:rPr>
                    <m:t>Z</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L</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b</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L</m:t>
                  </m:r>
                  <m:ctrlPr>
                    <w:rPr>
                      <w:rFonts w:ascii="Cambria Math" w:hAnsi="Cambria Math" w:cs="宋体"/>
                      <w:sz w:val="21"/>
                      <w:szCs w:val="21"/>
                    </w:rPr>
                  </m:ctrlPr>
                </m:sup>
              </m:sSubSup>
              <m:ctrlPr>
                <w:rPr>
                  <w:rFonts w:ascii="Cambria Math" w:hAnsi="Cambria Math" w:cs="宋体"/>
                  <w:sz w:val="21"/>
                  <w:szCs w:val="21"/>
                </w:rPr>
              </m:ctrlPr>
            </m:e>
          </m:eqArr>
        </m:oMath>
      </m:oMathPara>
    </w:p>
    <w:p>
      <w:pPr>
        <w:rPr>
          <w:rFonts w:hint="eastAsia" w:ascii="宋体" w:hAnsi="宋体" w:cs="宋体"/>
          <w:sz w:val="21"/>
          <w:szCs w:val="21"/>
        </w:rPr>
      </w:pPr>
      <w:r>
        <w:rPr>
          <w:rFonts w:hint="eastAsia" w:ascii="宋体" w:hAnsi="宋体" w:cs="宋体"/>
          <w:sz w:val="21"/>
          <w:szCs w:val="21"/>
        </w:rPr>
        <w:t>式中，P、V、L分别表示产品页面域、短视频域和直播域。值得注意的是，在短视频领域和直播领域，我们不包括文本模态，只使用视觉表示，即</w:t>
      </w:r>
      <m:oMath>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V</m:t>
            </m:r>
            <m:ctrlPr>
              <w:rPr>
                <w:rFonts w:ascii="Cambria Math" w:hAnsi="Cambria Math" w:cs="宋体"/>
                <w:sz w:val="21"/>
                <w:szCs w:val="21"/>
              </w:rPr>
            </m:ctrlPr>
          </m:sup>
        </m:sSubSup>
      </m:oMath>
      <w:r>
        <w:rPr>
          <w:rFonts w:hint="eastAsia" w:ascii="宋体" w:hAnsi="宋体" w:cs="宋体"/>
          <w:sz w:val="21"/>
          <w:szCs w:val="21"/>
        </w:rPr>
        <w:t>和</w:t>
      </w:r>
      <m:oMath>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L</m:t>
            </m:r>
            <m:ctrlPr>
              <w:rPr>
                <w:rFonts w:ascii="Cambria Math" w:hAnsi="Cambria Math" w:cs="宋体"/>
                <w:sz w:val="21"/>
                <w:szCs w:val="21"/>
              </w:rPr>
            </m:ctrlPr>
          </m:sup>
        </m:sSubSup>
      </m:oMath>
      <w:r>
        <w:rPr>
          <w:rFonts w:hint="eastAsia" w:ascii="宋体" w:hAnsi="宋体" w:cs="宋体"/>
          <w:sz w:val="21"/>
          <w:szCs w:val="21"/>
        </w:rPr>
        <w:t>。</w:t>
      </w:r>
    </w:p>
    <w:p>
      <w:pPr>
        <w:ind w:firstLine="419"/>
        <w:rPr>
          <w:rFonts w:hint="eastAsia" w:ascii="宋体" w:hAnsi="宋体" w:cs="宋体"/>
          <w:sz w:val="21"/>
          <w:szCs w:val="21"/>
        </w:rPr>
      </w:pPr>
      <w:r>
        <w:rPr>
          <w:rFonts w:hint="eastAsia" w:ascii="宋体" w:hAnsi="宋体" w:cs="宋体"/>
          <w:sz w:val="21"/>
          <w:szCs w:val="21"/>
        </w:rPr>
        <w:t>最后，提出了融合编码器，然后是投影层，用于聚合视觉和文本表示。融合编码器采用自注意层实现，投影层为线性层。</w:t>
      </w:r>
    </w:p>
    <w:p>
      <w:pPr>
        <w:ind w:firstLine="419"/>
        <w:rPr>
          <w:rFonts w:ascii="宋体" w:hAnsi="宋体" w:cs="宋体"/>
          <w:sz w:val="21"/>
          <w:szCs w:val="21"/>
        </w:rPr>
      </w:pPr>
      <w:r>
        <w:rPr>
          <w:rFonts w:hint="eastAsia" w:ascii="宋体" w:hAnsi="宋体" w:cs="宋体"/>
          <w:sz w:val="21"/>
          <w:szCs w:val="21"/>
        </w:rPr>
        <w:t>此外，在COPE的初始版本中，融合操作仅应用于产品页面域。在形式上,</w:t>
      </w:r>
    </w:p>
    <w:p>
      <w:pPr>
        <w:ind w:firstLine="419"/>
        <w:rPr>
          <w:rFonts w:ascii="宋体" w:hAnsi="宋体" w:cs="宋体"/>
          <w:sz w:val="21"/>
          <w:szCs w:val="21"/>
        </w:rPr>
      </w:pPr>
      <m:oMathPara>
        <m:oMath>
          <m:eqArr>
            <m:eqArrPr>
              <m:ctrlPr>
                <w:rPr>
                  <w:rFonts w:ascii="Cambria Math" w:hAnsi="Cambria Math" w:cs="宋体"/>
                  <w:sz w:val="21"/>
                  <w:szCs w:val="21"/>
                </w:rPr>
              </m:ctrlPr>
            </m:eqArrPr>
            <m:e>
              <m:r>
                <m:rPr/>
                <w:rPr>
                  <w:rFonts w:ascii="Cambria Math" w:hAnsi="Cambria Math" w:cs="宋体"/>
                  <w:sz w:val="21"/>
                  <w:szCs w:val="21"/>
                </w:rPr>
                <m:t>&amp;</m:t>
              </m:r>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fus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r>
                <m:rPr>
                  <m:nor/>
                  <m:sty m:val="p"/>
                </m:rPr>
                <w:rPr>
                  <w:rFonts w:ascii="宋体" w:hAnsi="宋体" w:cs="宋体"/>
                  <w:b w:val="0"/>
                  <w:i w:val="0"/>
                  <w:sz w:val="21"/>
                  <w:szCs w:val="21"/>
                </w:rPr>
                <m:t>SelfAtten</m:t>
              </m:r>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txt</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ctrlPr>
                <w:rPr>
                  <w:rFonts w:ascii="Cambria Math" w:hAnsi="Cambria Math" w:cs="宋体"/>
                  <w:sz w:val="21"/>
                  <w:szCs w:val="21"/>
                </w:rPr>
              </m:ctrlPr>
            </m:e>
            <m:e>
              <m:r>
                <m:rPr/>
                <w:rPr>
                  <w:rFonts w:ascii="Cambria Math" w:hAnsi="Cambria Math" w:cs="宋体"/>
                  <w:sz w:val="21"/>
                  <w:szCs w:val="21"/>
                </w:rPr>
                <m:t>&amp;</m:t>
              </m:r>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fus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m:sty m:val="b"/>
                    </m:rPr>
                    <w:rPr>
                      <w:rFonts w:ascii="Cambria Math" w:hAnsi="Cambria Math" w:cs="宋体"/>
                      <w:sz w:val="21"/>
                      <w:szCs w:val="21"/>
                    </w:rPr>
                    <m:t>W</m:t>
                  </m:r>
                  <m:ctrlPr>
                    <w:rPr>
                      <w:rFonts w:ascii="Cambria Math" w:hAnsi="Cambria Math" w:cs="宋体"/>
                      <w:sz w:val="21"/>
                      <w:szCs w:val="21"/>
                    </w:rPr>
                  </m:ctrlPr>
                </m:e>
                <m:sub>
                  <m:r>
                    <m:rPr/>
                    <w:rPr>
                      <w:rFonts w:ascii="Cambria Math" w:hAnsi="Cambria Math" w:cs="宋体"/>
                      <w:sz w:val="21"/>
                      <w:szCs w:val="21"/>
                    </w:rPr>
                    <m:t>fus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fus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r>
                <m:rPr/>
                <w:rPr>
                  <w:rFonts w:ascii="Cambria Math" w:hAnsi="Cambria Math" w:cs="宋体"/>
                  <w:sz w:val="21"/>
                  <w:szCs w:val="21"/>
                </w:rPr>
                <m:t>+</m:t>
              </m:r>
              <m:sSubSup>
                <m:sSubSupPr>
                  <m:ctrlPr>
                    <w:rPr>
                      <w:rFonts w:ascii="Cambria Math" w:hAnsi="Cambria Math" w:cs="宋体"/>
                      <w:sz w:val="21"/>
                      <w:szCs w:val="21"/>
                    </w:rPr>
                  </m:ctrlPr>
                </m:sSubSupPr>
                <m:e>
                  <m:r>
                    <m:rPr/>
                    <w:rPr>
                      <w:rFonts w:ascii="Cambria Math" w:hAnsi="Cambria Math" w:cs="宋体"/>
                      <w:sz w:val="21"/>
                      <w:szCs w:val="21"/>
                    </w:rPr>
                    <m:t>b</m:t>
                  </m:r>
                  <m:ctrlPr>
                    <w:rPr>
                      <w:rFonts w:ascii="Cambria Math" w:hAnsi="Cambria Math" w:cs="宋体"/>
                      <w:sz w:val="21"/>
                      <w:szCs w:val="21"/>
                    </w:rPr>
                  </m:ctrlPr>
                </m:e>
                <m:sub>
                  <m:r>
                    <m:rPr/>
                    <w:rPr>
                      <w:rFonts w:ascii="Cambria Math" w:hAnsi="Cambria Math" w:cs="宋体"/>
                      <w:sz w:val="21"/>
                      <w:szCs w:val="21"/>
                    </w:rPr>
                    <m:t>fus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ctrlPr>
                <w:rPr>
                  <w:rFonts w:ascii="Cambria Math" w:hAnsi="Cambria Math" w:cs="宋体"/>
                  <w:sz w:val="21"/>
                  <w:szCs w:val="21"/>
                </w:rPr>
              </m:ctrlPr>
            </m:e>
          </m:eqArr>
        </m:oMath>
      </m:oMathPara>
    </w:p>
    <w:p>
      <w:pPr>
        <w:rPr>
          <w:rFonts w:ascii="宋体" w:hAnsi="宋体" w:cs="宋体"/>
          <w:sz w:val="21"/>
          <w:szCs w:val="21"/>
        </w:rPr>
      </w:pPr>
      <w:r>
        <w:rPr>
          <w:rFonts w:hint="eastAsia" w:ascii="宋体" w:hAnsi="宋体" w:cs="宋体"/>
          <w:sz w:val="21"/>
          <w:szCs w:val="21"/>
        </w:rPr>
        <w:t>其中SelfAttn表示自注意层。</w:t>
      </w:r>
      <m:oMath>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fus</m:t>
            </m:r>
            <m:ctrlPr>
              <w:rPr>
                <w:rFonts w:ascii="Cambria Math" w:hAnsi="Cambria Math" w:cs="宋体"/>
                <w:sz w:val="21"/>
                <w:szCs w:val="21"/>
              </w:rPr>
            </m:ctrlPr>
          </m:sub>
          <m:sup>
            <m:r>
              <m:rPr>
                <m:sty m:val="p"/>
              </m:rPr>
              <w:rPr>
                <w:rFonts w:ascii="Cambria Math" w:hAnsi="Cambria Math" w:cs="宋体"/>
                <w:sz w:val="21"/>
                <w:szCs w:val="21"/>
              </w:rPr>
              <m:t>P</m:t>
            </m:r>
            <m:ctrlPr>
              <w:rPr>
                <w:rFonts w:ascii="Cambria Math" w:hAnsi="Cambria Math" w:cs="宋体"/>
                <w:sz w:val="21"/>
                <w:szCs w:val="21"/>
              </w:rPr>
            </m:ctrlPr>
          </m:sup>
        </m:sSubSup>
      </m:oMath>
      <w:r>
        <w:rPr>
          <w:rFonts w:hint="eastAsia" w:ascii="宋体" w:hAnsi="宋体" w:cs="宋体"/>
          <w:sz w:val="21"/>
          <w:szCs w:val="21"/>
        </w:rPr>
        <w:t>是获得的产品页面的多模态表示。对于另外两个域V和L，可视化表示</w:t>
      </w:r>
      <m:oMath>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V</m:t>
            </m:r>
            <m:ctrlPr>
              <w:rPr>
                <w:rFonts w:ascii="Cambria Math" w:hAnsi="Cambria Math" w:cs="宋体"/>
                <w:sz w:val="21"/>
                <w:szCs w:val="21"/>
              </w:rPr>
            </m:ctrlPr>
          </m:sup>
        </m:sSubSup>
      </m:oMath>
      <w:r>
        <w:rPr>
          <w:rFonts w:hint="eastAsia" w:ascii="宋体" w:hAnsi="宋体" w:cs="宋体"/>
          <w:sz w:val="21"/>
          <w:szCs w:val="21"/>
        </w:rPr>
        <w:t>和</w:t>
      </w:r>
      <m:oMath>
        <m:sSubSup>
          <m:sSubSupPr>
            <m:ctrlPr>
              <w:rPr>
                <w:rFonts w:ascii="Cambria Math" w:hAnsi="Cambria Math" w:cs="宋体"/>
                <w:sz w:val="21"/>
                <w:szCs w:val="21"/>
              </w:rPr>
            </m:ctrlPr>
          </m:sSubSupPr>
          <m:e>
            <m:r>
              <m:rPr/>
              <w:rPr>
                <w:rFonts w:ascii="Cambria Math" w:hAnsi="Cambria Math" w:cs="宋体"/>
                <w:sz w:val="21"/>
                <w:szCs w:val="21"/>
              </w:rPr>
              <m:t>E</m:t>
            </m:r>
            <m:ctrlPr>
              <w:rPr>
                <w:rFonts w:ascii="Cambria Math" w:hAnsi="Cambria Math" w:cs="宋体"/>
                <w:sz w:val="21"/>
                <w:szCs w:val="21"/>
              </w:rPr>
            </m:ctrlPr>
          </m:e>
          <m:sub>
            <m:r>
              <m:rPr/>
              <w:rPr>
                <w:rFonts w:ascii="Cambria Math" w:hAnsi="Cambria Math" w:cs="宋体"/>
                <w:sz w:val="21"/>
                <w:szCs w:val="21"/>
              </w:rPr>
              <m:t>vis</m:t>
            </m:r>
            <m:ctrlPr>
              <w:rPr>
                <w:rFonts w:ascii="Cambria Math" w:hAnsi="Cambria Math" w:cs="宋体"/>
                <w:sz w:val="21"/>
                <w:szCs w:val="21"/>
              </w:rPr>
            </m:ctrlPr>
          </m:sub>
          <m:sup>
            <m:r>
              <m:rPr>
                <m:sty m:val="p"/>
              </m:rPr>
              <w:rPr>
                <w:rFonts w:ascii="Cambria Math" w:hAnsi="Cambria Math" w:cs="宋体"/>
                <w:sz w:val="21"/>
                <w:szCs w:val="21"/>
              </w:rPr>
              <m:t>L</m:t>
            </m:r>
            <m:ctrlPr>
              <w:rPr>
                <w:rFonts w:ascii="Cambria Math" w:hAnsi="Cambria Math" w:cs="宋体"/>
                <w:sz w:val="21"/>
                <w:szCs w:val="21"/>
              </w:rPr>
            </m:ctrlPr>
          </m:sup>
        </m:sSubSup>
      </m:oMath>
      <w:r>
        <w:rPr>
          <w:rFonts w:hint="eastAsia" w:ascii="宋体" w:hAnsi="宋体" w:cs="宋体"/>
          <w:sz w:val="21"/>
          <w:szCs w:val="21"/>
        </w:rPr>
        <w:t>是它们最终得到的表示。</w:t>
      </w:r>
    </w:p>
    <w:p>
      <w:pPr>
        <w:pStyle w:val="4"/>
        <w:bidi w:val="0"/>
      </w:pPr>
      <w:r>
        <w:rPr>
          <w:rFonts w:hint="eastAsia"/>
        </w:rPr>
        <w:t>培养目标</w:t>
      </w:r>
    </w:p>
    <w:p>
      <w:pPr>
        <w:pStyle w:val="98"/>
        <w:ind w:firstLine="0" w:firstLineChars="0"/>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为了学习跨不同领域的统一产品表示，我们首先利用对比学习来训练提出的COPE模型，该模型遵循之前的自监督学习方法</w:t>
      </w:r>
      <w:r>
        <w:rPr>
          <w:rFonts w:hint="eastAsia" w:ascii="Times New Roman" w:hAnsi="Times New Roman" w:eastAsia="宋体" w:cs="Times New Roman"/>
          <w:kern w:val="2"/>
          <w:sz w:val="24"/>
          <w:szCs w:val="24"/>
          <w:vertAlign w:val="superscript"/>
          <w:lang w:val="en-US" w:eastAsia="zh-CN" w:bidi="ar-SA"/>
        </w:rPr>
        <w:t>[3,10,22]</w:t>
      </w:r>
      <w:r>
        <w:rPr>
          <w:rFonts w:hint="eastAsia" w:cs="宋体" w:asciiTheme="minorEastAsia" w:hAnsiTheme="minorEastAsia" w:eastAsiaTheme="minorEastAsia"/>
          <w:sz w:val="21"/>
          <w:szCs w:val="21"/>
        </w:rPr>
        <w:t>。对比损失函数的基本表达式</w:t>
      </w:r>
      <w:r>
        <w:rPr>
          <w:rFonts w:hint="eastAsia" w:ascii="Times New Roman" w:hAnsi="Times New Roman" w:eastAsia="宋体" w:cs="Times New Roman"/>
          <w:kern w:val="2"/>
          <w:sz w:val="24"/>
          <w:szCs w:val="24"/>
          <w:vertAlign w:val="superscript"/>
          <w:lang w:val="en-US" w:eastAsia="zh-CN" w:bidi="ar-SA"/>
        </w:rPr>
        <w:t>[22]</w:t>
      </w:r>
      <w:r>
        <w:rPr>
          <w:rFonts w:hint="eastAsia" w:cs="宋体" w:asciiTheme="minorEastAsia" w:hAnsiTheme="minorEastAsia" w:eastAsiaTheme="minorEastAsia"/>
          <w:sz w:val="21"/>
          <w:szCs w:val="21"/>
        </w:rPr>
        <w:t>定义为:</w:t>
      </w:r>
    </w:p>
    <w:p>
      <w:pPr>
        <w:pStyle w:val="98"/>
        <w:ind w:firstLine="0" w:firstLineChars="0"/>
        <w:rPr>
          <w:rFonts w:cs="宋体" w:asciiTheme="minorEastAsia" w:hAnsiTheme="minorEastAsia" w:eastAsiaTheme="minorEastAsia"/>
          <w:sz w:val="21"/>
          <w:szCs w:val="21"/>
        </w:rPr>
      </w:pPr>
      <m:oMathPara>
        <m:oMath>
          <m:sSub>
            <m:sSubPr>
              <m:ctrlPr>
                <w:rPr>
                  <w:rFonts w:ascii="Cambria Math" w:hAnsi="Cambria Math" w:cs="宋体" w:eastAsiaTheme="minorEastAsia"/>
                  <w:sz w:val="21"/>
                  <w:szCs w:val="21"/>
                </w:rPr>
              </m:ctrlPr>
            </m:sSubPr>
            <m:e>
              <m:r>
                <m:rPr>
                  <m:scr m:val="script"/>
                </m:rPr>
                <w:rPr>
                  <w:rFonts w:ascii="Cambria Math" w:hAnsi="Cambria Math" w:cs="宋体" w:eastAsiaTheme="minorEastAsia"/>
                  <w:sz w:val="21"/>
                  <w:szCs w:val="21"/>
                </w:rPr>
                <m:t>ℒ</m:t>
              </m:r>
              <m:ctrlPr>
                <w:rPr>
                  <w:rFonts w:ascii="Cambria Math" w:hAnsi="Cambria Math" w:cs="宋体" w:eastAsiaTheme="minorEastAsia"/>
                  <w:sz w:val="21"/>
                  <w:szCs w:val="21"/>
                </w:rPr>
              </m:ctrlPr>
            </m:e>
            <m:sub>
              <m:r>
                <m:rPr/>
                <w:rPr>
                  <w:rFonts w:ascii="Cambria Math" w:hAnsi="Cambria Math" w:cs="宋体" w:eastAsiaTheme="minorEastAsia"/>
                  <w:sz w:val="21"/>
                  <w:szCs w:val="21"/>
                </w:rPr>
                <m:t>con</m:t>
              </m:r>
              <m:ctrlPr>
                <w:rPr>
                  <w:rFonts w:ascii="Cambria Math" w:hAnsi="Cambria Math" w:cs="宋体" w:eastAsiaTheme="minorEastAsia"/>
                  <w:sz w:val="21"/>
                  <w:szCs w:val="21"/>
                </w:rPr>
              </m:ctrlPr>
            </m:sub>
          </m:sSub>
          <m:r>
            <m:rPr/>
            <w:rPr>
              <w:rFonts w:ascii="Cambria Math" w:hAnsi="Cambria Math" w:cs="宋体" w:eastAsiaTheme="minorEastAsia"/>
              <w:sz w:val="21"/>
              <w:szCs w:val="21"/>
            </w:rPr>
            <m:t>=−</m:t>
          </m:r>
          <m:r>
            <m:rPr>
              <m:sty m:val="p"/>
            </m:rPr>
            <w:rPr>
              <w:rFonts w:ascii="Cambria Math" w:hAnsi="Cambria Math" w:cs="宋体" w:eastAsiaTheme="minorEastAsia"/>
              <w:sz w:val="21"/>
              <w:szCs w:val="21"/>
            </w:rPr>
            <m:t>log</m:t>
          </m:r>
          <m:r>
            <m:rPr/>
            <w:rPr>
              <w:rFonts w:ascii="Cambria Math" w:hAnsi="Cambria Math" w:cs="宋体" w:eastAsiaTheme="minorEastAsia"/>
              <w:sz w:val="21"/>
              <w:szCs w:val="21"/>
            </w:rPr>
            <m:t>⁡</m:t>
          </m:r>
          <m:f>
            <m:fPr>
              <m:ctrlPr>
                <w:rPr>
                  <w:rFonts w:ascii="Cambria Math" w:hAnsi="Cambria Math" w:cs="宋体" w:eastAsiaTheme="minorEastAsia"/>
                  <w:sz w:val="21"/>
                  <w:szCs w:val="21"/>
                </w:rPr>
              </m:ctrlPr>
            </m:fPr>
            <m:num>
              <m:r>
                <m:rPr>
                  <m:sty m:val="p"/>
                </m:rPr>
                <w:rPr>
                  <w:rFonts w:ascii="Cambria Math" w:hAnsi="Cambria Math" w:cs="宋体" w:eastAsiaTheme="minorEastAsia"/>
                  <w:sz w:val="21"/>
                  <w:szCs w:val="21"/>
                </w:rPr>
                <m:t>exp</m:t>
              </m:r>
              <m:r>
                <m:rPr/>
                <w:rPr>
                  <w:rFonts w:ascii="Cambria Math" w:hAnsi="Cambria Math" w:cs="宋体" w:eastAsiaTheme="minorEastAsia"/>
                  <w:sz w:val="21"/>
                  <w:szCs w:val="21"/>
                </w:rPr>
                <m:t>⁡(</m:t>
              </m:r>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q</m:t>
                  </m:r>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k</m:t>
                      </m:r>
                      <m:ctrlPr>
                        <w:rPr>
                          <w:rFonts w:ascii="Cambria Math" w:hAnsi="Cambria Math" w:cs="宋体" w:eastAsiaTheme="minorEastAsia"/>
                          <w:sz w:val="21"/>
                          <w:szCs w:val="21"/>
                        </w:rPr>
                      </m:ctrlPr>
                    </m:e>
                    <m:sub>
                      <m:r>
                        <m:rPr/>
                        <w:rPr>
                          <w:rFonts w:ascii="Cambria Math" w:hAnsi="Cambria Math" w:cs="宋体" w:eastAsiaTheme="minorEastAsia"/>
                          <w:sz w:val="21"/>
                          <w:szCs w:val="21"/>
                        </w:rPr>
                        <m:t>+</m:t>
                      </m:r>
                      <m:ctrlPr>
                        <w:rPr>
                          <w:rFonts w:ascii="Cambria Math" w:hAnsi="Cambria Math" w:cs="宋体" w:eastAsiaTheme="minorEastAsia"/>
                          <w:sz w:val="21"/>
                          <w:szCs w:val="21"/>
                        </w:rPr>
                      </m:ctrlPr>
                    </m:sub>
                  </m:sSub>
                  <m:ctrlPr>
                    <w:rPr>
                      <w:rFonts w:ascii="Cambria Math" w:hAnsi="Cambria Math" w:cs="宋体" w:eastAsiaTheme="minorEastAsia"/>
                      <w:sz w:val="21"/>
                      <w:szCs w:val="21"/>
                    </w:rPr>
                  </m:ctrlPr>
                </m:sub>
              </m:sSub>
              <m:r>
                <m:rPr/>
                <w:rPr>
                  <w:rFonts w:ascii="Cambria Math" w:hAnsi="Cambria Math" w:cs="宋体" w:eastAsiaTheme="minorEastAsia"/>
                  <w:sz w:val="21"/>
                  <w:szCs w:val="21"/>
                </w:rPr>
                <m:t>/τ)</m:t>
              </m:r>
              <m:ctrlPr>
                <w:rPr>
                  <w:rFonts w:ascii="Cambria Math" w:hAnsi="Cambria Math" w:cs="宋体" w:eastAsiaTheme="minorEastAsia"/>
                  <w:sz w:val="21"/>
                  <w:szCs w:val="21"/>
                </w:rPr>
              </m:ctrlPr>
            </m:num>
            <m:den>
              <m:nary>
                <m:naryPr>
                  <m:chr m:val="∑"/>
                  <m:grow m:val="1"/>
                  <m:limLoc m:val="undOvr"/>
                  <m:ctrlPr>
                    <w:rPr>
                      <w:rFonts w:ascii="Cambria Math" w:hAnsi="Cambria Math" w:cs="宋体" w:eastAsiaTheme="minorEastAsia"/>
                      <w:sz w:val="21"/>
                      <w:szCs w:val="21"/>
                    </w:rPr>
                  </m:ctrlPr>
                </m:naryPr>
                <m:sub>
                  <m:r>
                    <m:rPr/>
                    <w:rPr>
                      <w:rFonts w:ascii="Cambria Math" w:hAnsi="Cambria Math" w:cs="宋体" w:eastAsiaTheme="minorEastAsia"/>
                      <w:sz w:val="21"/>
                      <w:szCs w:val="21"/>
                    </w:rPr>
                    <m:t>i=0</m:t>
                  </m:r>
                  <m:ctrlPr>
                    <w:rPr>
                      <w:rFonts w:ascii="Cambria Math" w:hAnsi="Cambria Math" w:cs="宋体" w:eastAsiaTheme="minorEastAsia"/>
                      <w:sz w:val="21"/>
                      <w:szCs w:val="21"/>
                    </w:rPr>
                  </m:ctrlPr>
                </m:sub>
                <m:sup>
                  <m:r>
                    <m:rPr/>
                    <w:rPr>
                      <w:rFonts w:ascii="Cambria Math" w:hAnsi="Cambria Math" w:cs="宋体" w:eastAsiaTheme="minorEastAsia"/>
                      <w:sz w:val="21"/>
                      <w:szCs w:val="21"/>
                    </w:rPr>
                    <m:t>i=K</m:t>
                  </m:r>
                  <m:ctrlPr>
                    <w:rPr>
                      <w:rFonts w:ascii="Cambria Math" w:hAnsi="Cambria Math" w:cs="宋体" w:eastAsiaTheme="minorEastAsia"/>
                      <w:sz w:val="21"/>
                      <w:szCs w:val="21"/>
                    </w:rPr>
                  </m:ctrlPr>
                </m:sup>
                <m:e>
                  <m:r>
                    <m:rPr/>
                    <w:rPr>
                      <w:rFonts w:ascii="Cambria Math" w:hAnsi="Cambria Math" w:cs="宋体" w:eastAsiaTheme="minorEastAsia"/>
                      <w:sz w:val="21"/>
                      <w:szCs w:val="21"/>
                    </w:rPr>
                    <m:t> </m:t>
                  </m:r>
                  <m:ctrlPr>
                    <w:rPr>
                      <w:rFonts w:ascii="Cambria Math" w:hAnsi="Cambria Math" w:cs="宋体" w:eastAsiaTheme="minorEastAsia"/>
                      <w:sz w:val="21"/>
                      <w:szCs w:val="21"/>
                    </w:rPr>
                  </m:ctrlPr>
                </m:e>
              </m:nary>
              <m:r>
                <m:rPr>
                  <m:sty m:val="p"/>
                </m:rPr>
                <w:rPr>
                  <w:rFonts w:ascii="Cambria Math" w:hAnsi="Cambria Math" w:cs="宋体" w:eastAsiaTheme="minorEastAsia"/>
                  <w:sz w:val="21"/>
                  <w:szCs w:val="21"/>
                </w:rPr>
                <m:t>exp</m:t>
              </m:r>
              <m:r>
                <m:rPr/>
                <w:rPr>
                  <w:rFonts w:ascii="Cambria Math" w:hAnsi="Cambria Math" w:cs="宋体" w:eastAsiaTheme="minorEastAsia"/>
                  <w:sz w:val="21"/>
                  <w:szCs w:val="21"/>
                </w:rPr>
                <m:t>⁡(</m:t>
              </m:r>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q</m:t>
                  </m:r>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k</m:t>
                      </m:r>
                      <m:ctrlPr>
                        <w:rPr>
                          <w:rFonts w:ascii="Cambria Math" w:hAnsi="Cambria Math" w:cs="宋体" w:eastAsiaTheme="minorEastAsia"/>
                          <w:sz w:val="21"/>
                          <w:szCs w:val="21"/>
                        </w:rPr>
                      </m:ctrlPr>
                    </m:e>
                    <m:sub>
                      <m:r>
                        <m:rPr/>
                        <w:rPr>
                          <w:rFonts w:ascii="Cambria Math" w:hAnsi="Cambria Math" w:cs="宋体" w:eastAsiaTheme="minorEastAsia"/>
                          <w:sz w:val="21"/>
                          <w:szCs w:val="21"/>
                        </w:rPr>
                        <m:t>i</m:t>
                      </m:r>
                      <m:ctrlPr>
                        <w:rPr>
                          <w:rFonts w:ascii="Cambria Math" w:hAnsi="Cambria Math" w:cs="宋体" w:eastAsiaTheme="minorEastAsia"/>
                          <w:sz w:val="21"/>
                          <w:szCs w:val="21"/>
                        </w:rPr>
                      </m:ctrlPr>
                    </m:sub>
                  </m:sSub>
                  <m:ctrlPr>
                    <w:rPr>
                      <w:rFonts w:ascii="Cambria Math" w:hAnsi="Cambria Math" w:cs="宋体" w:eastAsiaTheme="minorEastAsia"/>
                      <w:sz w:val="21"/>
                      <w:szCs w:val="21"/>
                    </w:rPr>
                  </m:ctrlPr>
                </m:sub>
              </m:sSub>
              <m:r>
                <m:rPr/>
                <w:rPr>
                  <w:rFonts w:ascii="Cambria Math" w:hAnsi="Cambria Math" w:cs="宋体" w:eastAsiaTheme="minorEastAsia"/>
                  <w:sz w:val="21"/>
                  <w:szCs w:val="21"/>
                </w:rPr>
                <m:t>/τ)</m:t>
              </m:r>
              <m:ctrlPr>
                <w:rPr>
                  <w:rFonts w:ascii="Cambria Math" w:hAnsi="Cambria Math" w:cs="宋体" w:eastAsiaTheme="minorEastAsia"/>
                  <w:sz w:val="21"/>
                  <w:szCs w:val="21"/>
                </w:rPr>
              </m:ctrlPr>
            </m:den>
          </m:f>
        </m:oMath>
      </m:oMathPara>
    </w:p>
    <w:p>
      <w:pPr>
        <w:pStyle w:val="98"/>
        <w:ind w:left="0" w:leftChars="0" w:firstLine="0" w:firstLineChars="0"/>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其中</w:t>
      </w:r>
      <m:oMath>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q</m:t>
            </m:r>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k</m:t>
                </m:r>
                <m:ctrlPr>
                  <w:rPr>
                    <w:rFonts w:ascii="Cambria Math" w:hAnsi="Cambria Math" w:cs="宋体" w:eastAsiaTheme="minorEastAsia"/>
                    <w:sz w:val="21"/>
                    <w:szCs w:val="21"/>
                  </w:rPr>
                </m:ctrlPr>
              </m:e>
              <m:sub>
                <m:r>
                  <m:rPr/>
                  <w:rPr>
                    <w:rFonts w:ascii="Cambria Math" w:hAnsi="Cambria Math" w:cs="宋体" w:eastAsiaTheme="minorEastAsia"/>
                    <w:sz w:val="21"/>
                    <w:szCs w:val="21"/>
                  </w:rPr>
                  <m:t>i</m:t>
                </m:r>
                <m:ctrlPr>
                  <w:rPr>
                    <w:rFonts w:ascii="Cambria Math" w:hAnsi="Cambria Math" w:cs="宋体" w:eastAsiaTheme="minorEastAsia"/>
                    <w:sz w:val="21"/>
                    <w:szCs w:val="21"/>
                  </w:rPr>
                </m:ctrlPr>
              </m:sub>
            </m:sSub>
            <m:ctrlPr>
              <w:rPr>
                <w:rFonts w:ascii="Cambria Math" w:hAnsi="Cambria Math" w:cs="宋体" w:eastAsiaTheme="minorEastAsia"/>
                <w:sz w:val="21"/>
                <w:szCs w:val="21"/>
              </w:rPr>
            </m:ctrlPr>
          </m:sub>
        </m:sSub>
      </m:oMath>
      <w:r>
        <w:rPr>
          <w:rFonts w:hint="eastAsia" w:cs="宋体" w:asciiTheme="minorEastAsia" w:hAnsiTheme="minorEastAsia" w:eastAsiaTheme="minorEastAsia"/>
          <w:sz w:val="21"/>
          <w:szCs w:val="21"/>
        </w:rPr>
        <w:t>表示样本q和样本</w:t>
      </w:r>
      <m:oMath>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k</m:t>
            </m:r>
            <m:ctrlPr>
              <w:rPr>
                <w:rFonts w:ascii="Cambria Math" w:hAnsi="Cambria Math" w:cs="宋体" w:eastAsiaTheme="minorEastAsia"/>
                <w:sz w:val="21"/>
                <w:szCs w:val="21"/>
              </w:rPr>
            </m:ctrlPr>
          </m:e>
          <m:sub>
            <m:r>
              <m:rPr/>
              <w:rPr>
                <w:rFonts w:ascii="Cambria Math" w:hAnsi="Cambria Math" w:cs="宋体" w:eastAsiaTheme="minorEastAsia"/>
                <w:sz w:val="21"/>
                <w:szCs w:val="21"/>
              </w:rPr>
              <m:t>i</m:t>
            </m:r>
            <m:ctrlPr>
              <w:rPr>
                <w:rFonts w:ascii="Cambria Math" w:hAnsi="Cambria Math" w:cs="宋体" w:eastAsiaTheme="minorEastAsia"/>
                <w:sz w:val="21"/>
                <w:szCs w:val="21"/>
              </w:rPr>
            </m:ctrlPr>
          </m:sub>
        </m:sSub>
      </m:oMath>
      <w:r>
        <w:rPr>
          <w:rFonts w:hint="eastAsia" w:cs="宋体" w:asciiTheme="minorEastAsia" w:hAnsiTheme="minorEastAsia" w:eastAsiaTheme="minorEastAsia"/>
          <w:sz w:val="21"/>
          <w:szCs w:val="21"/>
        </w:rPr>
        <w:t>之间的余弦相似度。阳性样品</w:t>
      </w:r>
      <m:oMath>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k</m:t>
            </m:r>
            <m:ctrlPr>
              <w:rPr>
                <w:rFonts w:ascii="Cambria Math" w:hAnsi="Cambria Math" w:cs="宋体" w:eastAsiaTheme="minorEastAsia"/>
                <w:sz w:val="21"/>
                <w:szCs w:val="21"/>
              </w:rPr>
            </m:ctrlPr>
          </m:e>
          <m:sub>
            <m:r>
              <m:rPr/>
              <w:rPr>
                <w:rFonts w:hint="default" w:ascii="Cambria Math" w:hAnsi="Cambria Math" w:cs="宋体" w:eastAsiaTheme="minorEastAsia"/>
                <w:sz w:val="21"/>
                <w:szCs w:val="21"/>
                <w:lang w:val="en-US" w:eastAsia="zh-CN"/>
              </w:rPr>
              <m:t>+</m:t>
            </m:r>
            <m:ctrlPr>
              <w:rPr>
                <w:rFonts w:ascii="Cambria Math" w:hAnsi="Cambria Math" w:cs="宋体" w:eastAsiaTheme="minorEastAsia"/>
                <w:sz w:val="21"/>
                <w:szCs w:val="21"/>
              </w:rPr>
            </m:ctrlPr>
          </m:sub>
        </m:sSub>
      </m:oMath>
      <w:r>
        <w:rPr>
          <w:rFonts w:hint="eastAsia" w:cs="宋体" w:asciiTheme="minorEastAsia" w:hAnsiTheme="minorEastAsia" w:eastAsiaTheme="minorEastAsia"/>
          <w:sz w:val="21"/>
          <w:szCs w:val="21"/>
        </w:rPr>
        <w:t>表示与q有相同产品标签的样品。</w:t>
      </w:r>
    </w:p>
    <w:p>
      <w:pPr>
        <w:pStyle w:val="98"/>
        <w:ind w:firstLine="417" w:firstLineChars="199"/>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相似度</w:t>
      </w:r>
      <m:oMath>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q</m:t>
            </m:r>
            <m:r>
              <m:rPr/>
              <w:rPr>
                <w:rFonts w:hint="default" w:ascii="Cambria Math" w:hAnsi="Cambria Math" w:cs="宋体" w:eastAsiaTheme="minorEastAsia"/>
                <w:sz w:val="21"/>
                <w:szCs w:val="21"/>
                <w:lang w:val="en-US" w:eastAsia="zh-CN"/>
              </w:rPr>
              <m:t>k</m:t>
            </m:r>
            <m:ctrlPr>
              <w:rPr>
                <w:rFonts w:ascii="Cambria Math" w:hAnsi="Cambria Math" w:cs="宋体" w:eastAsiaTheme="minorEastAsia"/>
                <w:sz w:val="21"/>
                <w:szCs w:val="21"/>
              </w:rPr>
            </m:ctrlPr>
          </m:sub>
        </m:sSub>
      </m:oMath>
      <w:r>
        <w:rPr>
          <w:rFonts w:hint="eastAsia" w:cs="宋体" w:asciiTheme="minorEastAsia" w:hAnsiTheme="minorEastAsia" w:eastAsiaTheme="minorEastAsia"/>
          <w:sz w:val="21"/>
          <w:szCs w:val="21"/>
        </w:rPr>
        <w:t>可以用不同形式的表示(视觉、文本或融合)来计算，样本q和k可以来自不同的领域(产品页面、短视频或直播)。在本文中，我们选择了7种不同的相似度</w:t>
      </w:r>
      <m:oMath>
        <m:sSub>
          <m:sSubPr>
            <m:ctrlPr>
              <w:rPr>
                <w:rFonts w:ascii="Cambria Math" w:hAnsi="Cambria Math" w:cs="宋体" w:eastAsiaTheme="minorEastAsia"/>
                <w:sz w:val="21"/>
                <w:szCs w:val="21"/>
              </w:rPr>
            </m:ctrlPr>
          </m:sSub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q</m:t>
            </m:r>
            <m:r>
              <m:rPr/>
              <w:rPr>
                <w:rFonts w:hint="default" w:ascii="Cambria Math" w:hAnsi="Cambria Math" w:cs="宋体" w:eastAsiaTheme="minorEastAsia"/>
                <w:sz w:val="21"/>
                <w:szCs w:val="21"/>
                <w:lang w:val="en-US" w:eastAsia="zh-CN"/>
              </w:rPr>
              <m:t>k</m:t>
            </m:r>
            <m:ctrlPr>
              <w:rPr>
                <w:rFonts w:ascii="Cambria Math" w:hAnsi="Cambria Math" w:cs="宋体" w:eastAsiaTheme="minorEastAsia"/>
                <w:sz w:val="21"/>
                <w:szCs w:val="21"/>
              </w:rPr>
            </m:ctrlPr>
          </m:sub>
        </m:sSub>
      </m:oMath>
      <w:r>
        <w:rPr>
          <w:rFonts w:hint="eastAsia" w:cs="宋体" w:asciiTheme="minorEastAsia" w:hAnsiTheme="minorEastAsia" w:eastAsiaTheme="minorEastAsia"/>
          <w:sz w:val="21"/>
          <w:szCs w:val="21"/>
        </w:rPr>
        <w:t>实现，得到了7种不同的对比损失函数。表2总结了实现的细节。基于这七个对比损失函数，我们将跨域损失定义为它们的和。在形式上,</w:t>
      </w:r>
    </w:p>
    <w:p>
      <w:pPr>
        <w:pStyle w:val="100"/>
        <w:rPr>
          <w:rFonts w:hint="eastAsia" w:cs="宋体" w:asciiTheme="minorEastAsia" w:hAnsiTheme="minorEastAsia" w:eastAsiaTheme="minorEastAsia"/>
          <w:sz w:val="21"/>
          <w:szCs w:val="21"/>
        </w:rPr>
      </w:pPr>
      <m:oMathPara>
        <m:oMathParaPr>
          <m:jc m:val="center"/>
        </m:oMathParaPr>
        <m:oMath>
          <m:sSub>
            <m:sSubPr/>
            <m:e>
              <m:r>
                <m:rPr>
                  <m:sty m:val="p"/>
                  <m:scr m:val="script"/>
                </m:rPr>
                <m:t>ℒ</m:t>
              </m:r>
            </m:e>
            <m:sub>
              <m:r>
                <m:rPr/>
                <m:t>cd</m:t>
              </m:r>
            </m:sub>
          </m:sSub>
          <m:r>
            <m:rPr>
              <m:sty m:val="p"/>
            </m:rPr>
            <m:t>=</m:t>
          </m:r>
          <m:nary>
            <m:naryPr>
              <m:chr m:val="∑"/>
              <m:limLoc m:val="undOvr"/>
            </m:naryPr>
            <m:sub>
              <m:r>
                <m:rPr/>
                <m:t>n</m:t>
              </m:r>
              <m:r>
                <m:rPr>
                  <m:sty m:val="p"/>
                </m:rPr>
                <m:t>=</m:t>
              </m:r>
              <m:r>
                <m:rPr/>
                <m:t>1</m:t>
              </m:r>
            </m:sub>
            <m:sup>
              <m:r>
                <m:rPr/>
                <m:t>n</m:t>
              </m:r>
              <m:r>
                <m:rPr>
                  <m:sty m:val="p"/>
                </m:rPr>
                <m:t>=</m:t>
              </m:r>
              <m:r>
                <m:rPr/>
                <m:t>7</m:t>
              </m:r>
            </m:sup>
            <m:e>
              <m:sSub>
                <m:sSubPr/>
                <m:e>
                  <m:r>
                    <m:rPr/>
                    <m:t>α</m:t>
                  </m:r>
                </m:e>
                <m:sub>
                  <m:r>
                    <m:rPr/>
                    <m:t>n</m:t>
                  </m:r>
                </m:sub>
              </m:sSub>
            </m:e>
          </m:nary>
          <m:sSubSup>
            <m:sSubSupPr/>
            <m:e>
              <m:r>
                <m:rPr>
                  <m:sty m:val="p"/>
                  <m:scr m:val="script"/>
                </m:rPr>
                <m:t>ℒ</m:t>
              </m:r>
            </m:e>
            <m:sub>
              <m:r>
                <m:rPr/>
                <m:t>con</m:t>
              </m:r>
            </m:sub>
            <m:sup>
              <m:r>
                <m:rPr/>
                <m:t>n</m:t>
              </m:r>
            </m:sup>
          </m:sSubSup>
        </m:oMath>
      </m:oMathPara>
    </w:p>
    <w:p>
      <w:pPr>
        <w:pStyle w:val="98"/>
        <w:ind w:left="0" w:leftChars="0" w:firstLine="0" w:firstLineChars="0"/>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其中</w:t>
      </w:r>
      <m:oMath>
        <m:sSub>
          <m:sSubPr/>
          <m:e>
            <m:r>
              <m:rPr/>
              <m:t>α</m:t>
            </m:r>
          </m:e>
          <m:sub>
            <m:r>
              <m:rPr/>
              <m:t>n</m:t>
            </m:r>
          </m:sub>
        </m:sSub>
      </m:oMath>
      <w:r>
        <w:rPr>
          <w:rFonts w:hint="eastAsia" w:cs="宋体" w:asciiTheme="minorEastAsia" w:hAnsiTheme="minorEastAsia" w:eastAsiaTheme="minorEastAsia"/>
          <w:sz w:val="21"/>
          <w:szCs w:val="21"/>
        </w:rPr>
        <w:t>为第n个对比学习损失函数的权值。</w:t>
      </w:r>
    </w:p>
    <w:p>
      <w:pPr>
        <w:pStyle w:val="98"/>
        <w:ind w:firstLine="417" w:firstLineChars="199"/>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除了跨域损失，我们还采用了产品分类损失来训练我们的COPE模型。具体来说，我们使用具有共享参数的MLP(多层感知器)来预测具有特定领域表示的每个领域的产品分类分数。对于产品页面域，采用了多模态表示方法。对于短视频和直播域，分别采用</w:t>
      </w:r>
      <m:oMath>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b>
            <m:r>
              <m:rPr/>
              <w:rPr>
                <w:rFonts w:ascii="Cambria Math" w:hAnsi="Cambria Math" w:cs="宋体" w:eastAsiaTheme="minorEastAsia"/>
                <w:sz w:val="21"/>
                <w:szCs w:val="21"/>
              </w:rPr>
              <m:t>vis</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V</m:t>
            </m:r>
            <m:ctrlPr>
              <w:rPr>
                <w:rFonts w:ascii="Cambria Math" w:hAnsi="Cambria Math" w:cs="宋体" w:eastAsiaTheme="minorEastAsia"/>
                <w:sz w:val="21"/>
                <w:szCs w:val="21"/>
              </w:rPr>
            </m:ctrlPr>
          </m:sup>
        </m:sSubSup>
      </m:oMath>
      <w:r>
        <w:rPr>
          <w:rFonts w:hint="eastAsia" w:cs="宋体" w:asciiTheme="minorEastAsia" w:hAnsiTheme="minorEastAsia" w:eastAsiaTheme="minorEastAsia"/>
          <w:sz w:val="21"/>
          <w:szCs w:val="21"/>
        </w:rPr>
        <w:t>和</w:t>
      </w:r>
      <m:oMath>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b>
            <m:r>
              <m:rPr/>
              <w:rPr>
                <w:rFonts w:ascii="Cambria Math" w:hAnsi="Cambria Math" w:cs="宋体" w:eastAsiaTheme="minorEastAsia"/>
                <w:sz w:val="21"/>
                <w:szCs w:val="21"/>
              </w:rPr>
              <m:t>vis</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L</m:t>
            </m:r>
            <m:ctrlPr>
              <w:rPr>
                <w:rFonts w:ascii="Cambria Math" w:hAnsi="Cambria Math" w:cs="宋体" w:eastAsiaTheme="minorEastAsia"/>
                <w:sz w:val="21"/>
                <w:szCs w:val="21"/>
              </w:rPr>
            </m:ctrlPr>
          </m:sup>
        </m:sSubSup>
      </m:oMath>
      <w:r>
        <w:rPr>
          <w:rFonts w:hint="eastAsia" w:cs="宋体" w:asciiTheme="minorEastAsia" w:hAnsiTheme="minorEastAsia" w:eastAsiaTheme="minorEastAsia"/>
          <w:sz w:val="21"/>
          <w:szCs w:val="21"/>
        </w:rPr>
        <w:t>可视化表示。</w:t>
      </w:r>
      <w:r>
        <w:rPr>
          <w:rFonts w:hint="eastAsia" w:cs="宋体" w:asciiTheme="minorEastAsia" w:hAnsiTheme="minorEastAsia" w:eastAsiaTheme="minorEastAsia"/>
          <w:sz w:val="21"/>
          <w:szCs w:val="21"/>
          <w:lang w:eastAsia="zh-CN"/>
        </w:rPr>
        <w:t>在形式上</w:t>
      </w:r>
      <w:r>
        <w:rPr>
          <w:rFonts w:hint="eastAsia" w:cs="宋体" w:asciiTheme="minorEastAsia" w:hAnsiTheme="minorEastAsia" w:eastAsiaTheme="minorEastAsia"/>
          <w:sz w:val="21"/>
          <w:szCs w:val="21"/>
        </w:rPr>
        <w:t>,</w:t>
      </w:r>
    </w:p>
    <w:p>
      <w:pPr>
        <w:pStyle w:val="98"/>
        <w:ind w:firstLine="417" w:firstLineChars="199"/>
        <w:rPr>
          <w:rFonts w:cs="宋体" w:asciiTheme="minorEastAsia" w:hAnsiTheme="minorEastAsia" w:eastAsiaTheme="minorEastAsia"/>
          <w:sz w:val="21"/>
          <w:szCs w:val="21"/>
        </w:rPr>
      </w:pPr>
      <m:oMathPara>
        <m:oMath>
          <m:eqArr>
            <m:eqArrPr>
              <m:ctrlPr>
                <w:rPr>
                  <w:rFonts w:ascii="Cambria Math" w:hAnsi="Cambria Math" w:cs="宋体" w:eastAsiaTheme="minorEastAsia"/>
                  <w:sz w:val="21"/>
                  <w:szCs w:val="21"/>
                </w:rPr>
              </m:ctrlPr>
            </m:eqArrPr>
            <m:e>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p>
                  <m:r>
                    <m:rPr>
                      <m:sty m:val="p"/>
                    </m:rPr>
                    <w:rPr>
                      <w:rFonts w:ascii="Cambria Math" w:hAnsi="Cambria Math" w:cs="宋体" w:eastAsiaTheme="minorEastAsia"/>
                      <w:sz w:val="21"/>
                      <w:szCs w:val="21"/>
                    </w:rPr>
                    <m:t>P</m:t>
                  </m:r>
                  <m:ctrlPr>
                    <w:rPr>
                      <w:rFonts w:ascii="Cambria Math" w:hAnsi="Cambria Math" w:cs="宋体" w:eastAsiaTheme="minorEastAsia"/>
                      <w:sz w:val="21"/>
                      <w:szCs w:val="21"/>
                    </w:rPr>
                  </m:ctrlPr>
                </m:sup>
              </m:sSup>
              <m:r>
                <m:rPr/>
                <w:rPr>
                  <w:rFonts w:ascii="Cambria Math" w:hAnsi="Cambria Math" w:cs="宋体" w:eastAsiaTheme="minorEastAsia"/>
                  <w:sz w:val="21"/>
                  <w:szCs w:val="21"/>
                </w:rPr>
                <m:t>=</m:t>
              </m:r>
              <m:r>
                <m:rPr>
                  <m:sty m:val="p"/>
                </m:rPr>
                <w:rPr>
                  <w:rFonts w:ascii="Cambria Math" w:hAnsi="Cambria Math" w:cs="宋体" w:eastAsiaTheme="minorEastAsia"/>
                  <w:sz w:val="21"/>
                  <w:szCs w:val="21"/>
                </w:rPr>
                <m:t>MLP</m:t>
              </m:r>
              <m:r>
                <m:rPr/>
                <w:rPr>
                  <w:rFonts w:ascii="Cambria Math" w:hAnsi="Cambria Math" w:cs="宋体" w:eastAsiaTheme="minorEastAsia"/>
                  <w:sz w:val="21"/>
                  <w:szCs w:val="21"/>
                </w:rPr>
                <m:t>(</m:t>
              </m:r>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b>
                  <m:r>
                    <m:rPr/>
                    <w:rPr>
                      <w:rFonts w:ascii="Cambria Math" w:hAnsi="Cambria Math" w:cs="宋体" w:eastAsiaTheme="minorEastAsia"/>
                      <w:sz w:val="21"/>
                      <w:szCs w:val="21"/>
                    </w:rPr>
                    <m:t>fus</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P</m:t>
                  </m:r>
                  <m:ctrlPr>
                    <w:rPr>
                      <w:rFonts w:ascii="Cambria Math" w:hAnsi="Cambria Math" w:cs="宋体" w:eastAsiaTheme="minorEastAsia"/>
                      <w:sz w:val="21"/>
                      <w:szCs w:val="21"/>
                    </w:rPr>
                  </m:ctrlPr>
                </m:sup>
              </m:sSubSup>
              <m:r>
                <m:rPr/>
                <w:rPr>
                  <w:rFonts w:ascii="Cambria Math" w:hAnsi="Cambria Math" w:cs="宋体" w:eastAsiaTheme="minorEastAsia"/>
                  <w:sz w:val="21"/>
                  <w:szCs w:val="21"/>
                </w:rPr>
                <m:t>)</m:t>
              </m:r>
              <m:ctrlPr>
                <w:rPr>
                  <w:rFonts w:ascii="Cambria Math" w:hAnsi="Cambria Math" w:cs="宋体" w:eastAsiaTheme="minorEastAsia"/>
                  <w:sz w:val="21"/>
                  <w:szCs w:val="21"/>
                </w:rPr>
              </m:ctrlPr>
            </m:e>
            <m:e>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p>
                  <m:r>
                    <m:rPr>
                      <m:sty m:val="p"/>
                    </m:rPr>
                    <w:rPr>
                      <w:rFonts w:ascii="Cambria Math" w:hAnsi="Cambria Math" w:cs="宋体" w:eastAsiaTheme="minorEastAsia"/>
                      <w:sz w:val="21"/>
                      <w:szCs w:val="21"/>
                    </w:rPr>
                    <m:t>V</m:t>
                  </m:r>
                  <m:ctrlPr>
                    <w:rPr>
                      <w:rFonts w:ascii="Cambria Math" w:hAnsi="Cambria Math" w:cs="宋体" w:eastAsiaTheme="minorEastAsia"/>
                      <w:sz w:val="21"/>
                      <w:szCs w:val="21"/>
                    </w:rPr>
                  </m:ctrlPr>
                </m:sup>
              </m:sSup>
              <m:r>
                <m:rPr/>
                <w:rPr>
                  <w:rFonts w:ascii="Cambria Math" w:hAnsi="Cambria Math" w:cs="宋体" w:eastAsiaTheme="minorEastAsia"/>
                  <w:sz w:val="21"/>
                  <w:szCs w:val="21"/>
                </w:rPr>
                <m:t>=</m:t>
              </m:r>
              <m:r>
                <m:rPr>
                  <m:sty m:val="p"/>
                </m:rPr>
                <w:rPr>
                  <w:rFonts w:ascii="Cambria Math" w:hAnsi="Cambria Math" w:cs="宋体" w:eastAsiaTheme="minorEastAsia"/>
                  <w:sz w:val="21"/>
                  <w:szCs w:val="21"/>
                </w:rPr>
                <m:t>MLP</m:t>
              </m:r>
              <m:r>
                <m:rPr/>
                <w:rPr>
                  <w:rFonts w:ascii="Cambria Math" w:hAnsi="Cambria Math" w:cs="宋体" w:eastAsiaTheme="minorEastAsia"/>
                  <w:sz w:val="21"/>
                  <w:szCs w:val="21"/>
                </w:rPr>
                <m:t>(</m:t>
              </m:r>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b>
                  <m:r>
                    <m:rPr/>
                    <w:rPr>
                      <w:rFonts w:ascii="Cambria Math" w:hAnsi="Cambria Math" w:cs="宋体" w:eastAsiaTheme="minorEastAsia"/>
                      <w:sz w:val="21"/>
                      <w:szCs w:val="21"/>
                    </w:rPr>
                    <m:t>vis</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V</m:t>
                  </m:r>
                  <m:ctrlPr>
                    <w:rPr>
                      <w:rFonts w:ascii="Cambria Math" w:hAnsi="Cambria Math" w:cs="宋体" w:eastAsiaTheme="minorEastAsia"/>
                      <w:sz w:val="21"/>
                      <w:szCs w:val="21"/>
                    </w:rPr>
                  </m:ctrlPr>
                </m:sup>
              </m:sSubSup>
              <m:r>
                <m:rPr/>
                <w:rPr>
                  <w:rFonts w:ascii="Cambria Math" w:hAnsi="Cambria Math" w:cs="宋体" w:eastAsiaTheme="minorEastAsia"/>
                  <w:sz w:val="21"/>
                  <w:szCs w:val="21"/>
                </w:rPr>
                <m:t>)</m:t>
              </m:r>
              <m:ctrlPr>
                <w:rPr>
                  <w:rFonts w:ascii="Cambria Math" w:hAnsi="Cambria Math" w:cs="宋体" w:eastAsiaTheme="minorEastAsia"/>
                  <w:sz w:val="21"/>
                  <w:szCs w:val="21"/>
                </w:rPr>
              </m:ctrlPr>
            </m:e>
            <m:e>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p>
                  <m:r>
                    <m:rPr>
                      <m:sty m:val="p"/>
                    </m:rPr>
                    <w:rPr>
                      <w:rFonts w:ascii="Cambria Math" w:hAnsi="Cambria Math" w:cs="宋体" w:eastAsiaTheme="minorEastAsia"/>
                      <w:sz w:val="21"/>
                      <w:szCs w:val="21"/>
                    </w:rPr>
                    <m:t>L</m:t>
                  </m:r>
                  <m:ctrlPr>
                    <w:rPr>
                      <w:rFonts w:ascii="Cambria Math" w:hAnsi="Cambria Math" w:cs="宋体" w:eastAsiaTheme="minorEastAsia"/>
                      <w:sz w:val="21"/>
                      <w:szCs w:val="21"/>
                    </w:rPr>
                  </m:ctrlPr>
                </m:sup>
              </m:sSup>
              <m:r>
                <m:rPr/>
                <w:rPr>
                  <w:rFonts w:ascii="Cambria Math" w:hAnsi="Cambria Math" w:cs="宋体" w:eastAsiaTheme="minorEastAsia"/>
                  <w:sz w:val="21"/>
                  <w:szCs w:val="21"/>
                </w:rPr>
                <m:t>=</m:t>
              </m:r>
              <m:r>
                <m:rPr>
                  <m:sty m:val="p"/>
                </m:rPr>
                <w:rPr>
                  <w:rFonts w:ascii="Cambria Math" w:hAnsi="Cambria Math" w:cs="宋体" w:eastAsiaTheme="minorEastAsia"/>
                  <w:sz w:val="21"/>
                  <w:szCs w:val="21"/>
                </w:rPr>
                <m:t>MLP</m:t>
              </m:r>
              <m:r>
                <m:rPr/>
                <w:rPr>
                  <w:rFonts w:ascii="Cambria Math" w:hAnsi="Cambria Math" w:cs="宋体" w:eastAsiaTheme="minorEastAsia"/>
                  <w:sz w:val="21"/>
                  <w:szCs w:val="21"/>
                </w:rPr>
                <m:t>(</m:t>
              </m:r>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b>
                  <m:r>
                    <m:rPr/>
                    <w:rPr>
                      <w:rFonts w:ascii="Cambria Math" w:hAnsi="Cambria Math" w:cs="宋体" w:eastAsiaTheme="minorEastAsia"/>
                      <w:sz w:val="21"/>
                      <w:szCs w:val="21"/>
                    </w:rPr>
                    <m:t>vis</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L</m:t>
                  </m:r>
                  <m:ctrlPr>
                    <w:rPr>
                      <w:rFonts w:ascii="Cambria Math" w:hAnsi="Cambria Math" w:cs="宋体" w:eastAsiaTheme="minorEastAsia"/>
                      <w:sz w:val="21"/>
                      <w:szCs w:val="21"/>
                    </w:rPr>
                  </m:ctrlPr>
                </m:sup>
              </m:sSubSup>
              <m:r>
                <m:rPr/>
                <w:rPr>
                  <w:rFonts w:ascii="Cambria Math" w:hAnsi="Cambria Math" w:cs="宋体" w:eastAsiaTheme="minorEastAsia"/>
                  <w:sz w:val="21"/>
                  <w:szCs w:val="21"/>
                </w:rPr>
                <m:t>)</m:t>
              </m:r>
              <m:ctrlPr>
                <w:rPr>
                  <w:rFonts w:ascii="Cambria Math" w:hAnsi="Cambria Math" w:cs="宋体" w:eastAsiaTheme="minorEastAsia"/>
                  <w:sz w:val="21"/>
                  <w:szCs w:val="21"/>
                </w:rPr>
              </m:ctrlPr>
            </m:e>
          </m:eqArr>
        </m:oMath>
      </m:oMathPara>
    </w:p>
    <w:p>
      <w:pPr>
        <w:pStyle w:val="98"/>
        <w:ind w:left="0" w:leftChars="0" w:firstLine="0" w:firstLineChars="0"/>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其中s表示每个域的分类得分。</w:t>
      </w:r>
    </w:p>
    <w:p>
      <w:pPr>
        <w:pStyle w:val="98"/>
        <w:ind w:firstLine="417" w:firstLineChars="199"/>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然后使用标准的softmax损失对模型进行训练。</w:t>
      </w:r>
      <w:r>
        <w:rPr>
          <w:rFonts w:hint="eastAsia" w:cs="宋体" w:asciiTheme="minorEastAsia" w:hAnsiTheme="minorEastAsia" w:eastAsiaTheme="minorEastAsia"/>
          <w:sz w:val="21"/>
          <w:szCs w:val="21"/>
          <w:lang w:eastAsia="zh-CN"/>
        </w:rPr>
        <w:t>在形式上</w:t>
      </w:r>
      <w:r>
        <w:rPr>
          <w:rFonts w:hint="eastAsia" w:cs="宋体" w:asciiTheme="minorEastAsia" w:hAnsiTheme="minorEastAsia" w:eastAsiaTheme="minorEastAsia"/>
          <w:sz w:val="21"/>
          <w:szCs w:val="21"/>
        </w:rPr>
        <w:t>，</w:t>
      </w:r>
    </w:p>
    <w:p>
      <w:pPr>
        <w:pStyle w:val="98"/>
        <w:ind w:firstLine="417" w:firstLineChars="199"/>
        <w:rPr>
          <w:rFonts w:cs="宋体" w:asciiTheme="minorEastAsia" w:hAnsiTheme="minorEastAsia" w:eastAsiaTheme="minorEastAsia"/>
          <w:sz w:val="21"/>
          <w:szCs w:val="21"/>
        </w:rPr>
      </w:pPr>
      <m:oMathPara>
        <m:oMath>
          <m:sSub>
            <m:sSubPr>
              <m:ctrlPr>
                <w:rPr>
                  <w:rFonts w:ascii="Cambria Math" w:hAnsi="Cambria Math" w:cs="宋体" w:eastAsiaTheme="minorEastAsia"/>
                  <w:sz w:val="21"/>
                  <w:szCs w:val="21"/>
                </w:rPr>
              </m:ctrlPr>
            </m:sSubPr>
            <m:e>
              <m:r>
                <m:rPr>
                  <m:scr m:val="script"/>
                </m:rPr>
                <w:rPr>
                  <w:rFonts w:ascii="Cambria Math" w:hAnsi="Cambria Math" w:cs="宋体" w:eastAsiaTheme="minorEastAsia"/>
                  <w:sz w:val="21"/>
                  <w:szCs w:val="21"/>
                </w:rPr>
                <m:t>ℒ</m:t>
              </m:r>
              <m:ctrlPr>
                <w:rPr>
                  <w:rFonts w:ascii="Cambria Math" w:hAnsi="Cambria Math" w:cs="宋体" w:eastAsiaTheme="minorEastAsia"/>
                  <w:sz w:val="21"/>
                  <w:szCs w:val="21"/>
                </w:rPr>
              </m:ctrlPr>
            </m:e>
            <m:sub>
              <m:r>
                <m:rPr/>
                <w:rPr>
                  <w:rFonts w:ascii="Cambria Math" w:hAnsi="Cambria Math" w:cs="宋体" w:eastAsiaTheme="minorEastAsia"/>
                  <w:sz w:val="21"/>
                  <w:szCs w:val="21"/>
                </w:rPr>
                <m:t>cls</m:t>
              </m:r>
              <m:ctrlPr>
                <w:rPr>
                  <w:rFonts w:ascii="Cambria Math" w:hAnsi="Cambria Math" w:cs="宋体" w:eastAsiaTheme="minorEastAsia"/>
                  <w:sz w:val="21"/>
                  <w:szCs w:val="21"/>
                </w:rPr>
              </m:ctrlPr>
            </m:sub>
          </m:sSub>
          <m:r>
            <m:rPr/>
            <w:rPr>
              <w:rFonts w:ascii="Cambria Math" w:hAnsi="Cambria Math" w:cs="宋体" w:eastAsiaTheme="minorEastAsia"/>
              <w:sz w:val="21"/>
              <w:szCs w:val="21"/>
            </w:rPr>
            <m:t>=−(</m:t>
          </m:r>
          <m:r>
            <m:rPr>
              <m:sty m:val="p"/>
            </m:rPr>
            <w:rPr>
              <w:rFonts w:ascii="Cambria Math" w:hAnsi="Cambria Math" w:cs="宋体" w:eastAsiaTheme="minorEastAsia"/>
              <w:sz w:val="21"/>
              <w:szCs w:val="21"/>
            </w:rPr>
            <m:t>log</m:t>
          </m:r>
          <m:r>
            <m:rPr/>
            <w:rPr>
              <w:rFonts w:ascii="Cambria Math" w:hAnsi="Cambria Math" w:cs="宋体" w:eastAsiaTheme="minorEastAsia"/>
              <w:sz w:val="21"/>
              <w:szCs w:val="21"/>
            </w:rPr>
            <m:t>⁡</m:t>
          </m:r>
          <m:f>
            <m:fPr>
              <m:ctrlPr>
                <w:rPr>
                  <w:rFonts w:ascii="Cambria Math" w:hAnsi="Cambria Math" w:cs="宋体" w:eastAsiaTheme="minorEastAsia"/>
                  <w:sz w:val="21"/>
                  <w:szCs w:val="21"/>
                </w:rPr>
              </m:ctrlPr>
            </m:fPr>
            <m:num>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p>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i</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P</m:t>
                      </m:r>
                      <m:ctrlPr>
                        <w:rPr>
                          <w:rFonts w:ascii="Cambria Math" w:hAnsi="Cambria Math" w:cs="宋体" w:eastAsiaTheme="minorEastAsia"/>
                          <w:sz w:val="21"/>
                          <w:szCs w:val="21"/>
                        </w:rPr>
                      </m:ctrlPr>
                    </m:sup>
                  </m:sSubSup>
                  <m:ctrlPr>
                    <w:rPr>
                      <w:rFonts w:ascii="Cambria Math" w:hAnsi="Cambria Math" w:cs="宋体" w:eastAsiaTheme="minorEastAsia"/>
                      <w:sz w:val="21"/>
                      <w:szCs w:val="21"/>
                    </w:rPr>
                  </m:ctrlPr>
                </m:sup>
              </m:sSup>
              <m:ctrlPr>
                <w:rPr>
                  <w:rFonts w:ascii="Cambria Math" w:hAnsi="Cambria Math" w:cs="宋体" w:eastAsiaTheme="minorEastAsia"/>
                  <w:sz w:val="21"/>
                  <w:szCs w:val="21"/>
                </w:rPr>
              </m:ctrlPr>
            </m:num>
            <m:den>
              <m:nary>
                <m:naryPr>
                  <m:chr m:val="∑"/>
                  <m:grow m:val="1"/>
                  <m:limLoc m:val="undOvr"/>
                  <m:ctrlPr>
                    <w:rPr>
                      <w:rFonts w:ascii="Cambria Math" w:hAnsi="Cambria Math" w:cs="宋体" w:eastAsiaTheme="minorEastAsia"/>
                      <w:sz w:val="21"/>
                      <w:szCs w:val="21"/>
                    </w:rPr>
                  </m:ctrlPr>
                </m:naryPr>
                <m:sub>
                  <m:r>
                    <m:rPr/>
                    <w:rPr>
                      <w:rFonts w:ascii="Cambria Math" w:hAnsi="Cambria Math" w:cs="宋体" w:eastAsiaTheme="minorEastAsia"/>
                      <w:sz w:val="21"/>
                      <w:szCs w:val="21"/>
                    </w:rPr>
                    <m:t>j</m:t>
                  </m:r>
                  <m:ctrlPr>
                    <w:rPr>
                      <w:rFonts w:ascii="Cambria Math" w:hAnsi="Cambria Math" w:cs="宋体" w:eastAsiaTheme="minorEastAsia"/>
                      <w:sz w:val="21"/>
                      <w:szCs w:val="21"/>
                    </w:rPr>
                  </m:ctrlPr>
                </m:sub>
                <m:sup>
                  <m:r>
                    <m:rPr/>
                    <w:rPr>
                      <w:rFonts w:ascii="Cambria Math" w:hAnsi="Cambria Math" w:cs="宋体" w:eastAsiaTheme="minorEastAsia"/>
                      <w:sz w:val="21"/>
                      <w:szCs w:val="21"/>
                    </w:rPr>
                    <m:t>C</m:t>
                  </m:r>
                  <m:ctrlPr>
                    <w:rPr>
                      <w:rFonts w:ascii="Cambria Math" w:hAnsi="Cambria Math" w:cs="宋体" w:eastAsiaTheme="minorEastAsia"/>
                      <w:sz w:val="21"/>
                      <w:szCs w:val="21"/>
                    </w:rPr>
                  </m:ctrlPr>
                </m:sup>
                <m:e>
                  <m:r>
                    <m:rPr/>
                    <w:rPr>
                      <w:rFonts w:ascii="Cambria Math" w:hAnsi="Cambria Math" w:cs="宋体" w:eastAsiaTheme="minorEastAsia"/>
                      <w:sz w:val="21"/>
                      <w:szCs w:val="21"/>
                    </w:rPr>
                    <m:t> </m:t>
                  </m:r>
                  <m:ctrlPr>
                    <w:rPr>
                      <w:rFonts w:ascii="Cambria Math" w:hAnsi="Cambria Math" w:cs="宋体" w:eastAsiaTheme="minorEastAsia"/>
                      <w:sz w:val="21"/>
                      <w:szCs w:val="21"/>
                    </w:rPr>
                  </m:ctrlPr>
                </m:e>
              </m:nary>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p>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j</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P</m:t>
                      </m:r>
                      <m:ctrlPr>
                        <w:rPr>
                          <w:rFonts w:ascii="Cambria Math" w:hAnsi="Cambria Math" w:cs="宋体" w:eastAsiaTheme="minorEastAsia"/>
                          <w:sz w:val="21"/>
                          <w:szCs w:val="21"/>
                        </w:rPr>
                      </m:ctrlPr>
                    </m:sup>
                  </m:sSubSup>
                  <m:ctrlPr>
                    <w:rPr>
                      <w:rFonts w:ascii="Cambria Math" w:hAnsi="Cambria Math" w:cs="宋体" w:eastAsiaTheme="minorEastAsia"/>
                      <w:sz w:val="21"/>
                      <w:szCs w:val="21"/>
                    </w:rPr>
                  </m:ctrlPr>
                </m:sup>
              </m:sSup>
              <m:ctrlPr>
                <w:rPr>
                  <w:rFonts w:ascii="Cambria Math" w:hAnsi="Cambria Math" w:cs="宋体" w:eastAsiaTheme="minorEastAsia"/>
                  <w:sz w:val="21"/>
                  <w:szCs w:val="21"/>
                </w:rPr>
              </m:ctrlPr>
            </m:den>
          </m:f>
          <m:r>
            <m:rPr/>
            <w:rPr>
              <w:rFonts w:ascii="Cambria Math" w:hAnsi="Cambria Math" w:cs="宋体" w:eastAsiaTheme="minorEastAsia"/>
              <w:sz w:val="21"/>
              <w:szCs w:val="21"/>
            </w:rPr>
            <m:t>+</m:t>
          </m:r>
          <m:r>
            <m:rPr>
              <m:sty m:val="p"/>
            </m:rPr>
            <w:rPr>
              <w:rFonts w:ascii="Cambria Math" w:hAnsi="Cambria Math" w:cs="宋体" w:eastAsiaTheme="minorEastAsia"/>
              <w:sz w:val="21"/>
              <w:szCs w:val="21"/>
            </w:rPr>
            <m:t>log</m:t>
          </m:r>
          <m:r>
            <m:rPr/>
            <w:rPr>
              <w:rFonts w:ascii="Cambria Math" w:hAnsi="Cambria Math" w:cs="宋体" w:eastAsiaTheme="minorEastAsia"/>
              <w:sz w:val="21"/>
              <w:szCs w:val="21"/>
            </w:rPr>
            <m:t>⁡</m:t>
          </m:r>
          <m:f>
            <m:fPr>
              <m:ctrlPr>
                <w:rPr>
                  <w:rFonts w:ascii="Cambria Math" w:hAnsi="Cambria Math" w:cs="宋体" w:eastAsiaTheme="minorEastAsia"/>
                  <w:sz w:val="21"/>
                  <w:szCs w:val="21"/>
                </w:rPr>
              </m:ctrlPr>
            </m:fPr>
            <m:num>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p>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i</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V</m:t>
                      </m:r>
                      <m:ctrlPr>
                        <w:rPr>
                          <w:rFonts w:ascii="Cambria Math" w:hAnsi="Cambria Math" w:cs="宋体" w:eastAsiaTheme="minorEastAsia"/>
                          <w:sz w:val="21"/>
                          <w:szCs w:val="21"/>
                        </w:rPr>
                      </m:ctrlPr>
                    </m:sup>
                  </m:sSubSup>
                  <m:ctrlPr>
                    <w:rPr>
                      <w:rFonts w:ascii="Cambria Math" w:hAnsi="Cambria Math" w:cs="宋体" w:eastAsiaTheme="minorEastAsia"/>
                      <w:sz w:val="21"/>
                      <w:szCs w:val="21"/>
                    </w:rPr>
                  </m:ctrlPr>
                </m:sup>
              </m:sSup>
              <m:ctrlPr>
                <w:rPr>
                  <w:rFonts w:ascii="Cambria Math" w:hAnsi="Cambria Math" w:cs="宋体" w:eastAsiaTheme="minorEastAsia"/>
                  <w:sz w:val="21"/>
                  <w:szCs w:val="21"/>
                </w:rPr>
              </m:ctrlPr>
            </m:num>
            <m:den>
              <m:nary>
                <m:naryPr>
                  <m:chr m:val="∑"/>
                  <m:grow m:val="1"/>
                  <m:limLoc m:val="undOvr"/>
                  <m:ctrlPr>
                    <w:rPr>
                      <w:rFonts w:ascii="Cambria Math" w:hAnsi="Cambria Math" w:cs="宋体" w:eastAsiaTheme="minorEastAsia"/>
                      <w:sz w:val="21"/>
                      <w:szCs w:val="21"/>
                    </w:rPr>
                  </m:ctrlPr>
                </m:naryPr>
                <m:sub>
                  <m:r>
                    <m:rPr/>
                    <w:rPr>
                      <w:rFonts w:ascii="Cambria Math" w:hAnsi="Cambria Math" w:cs="宋体" w:eastAsiaTheme="minorEastAsia"/>
                      <w:sz w:val="21"/>
                      <w:szCs w:val="21"/>
                    </w:rPr>
                    <m:t>j</m:t>
                  </m:r>
                  <m:ctrlPr>
                    <w:rPr>
                      <w:rFonts w:ascii="Cambria Math" w:hAnsi="Cambria Math" w:cs="宋体" w:eastAsiaTheme="minorEastAsia"/>
                      <w:sz w:val="21"/>
                      <w:szCs w:val="21"/>
                    </w:rPr>
                  </m:ctrlPr>
                </m:sub>
                <m:sup>
                  <m:r>
                    <m:rPr/>
                    <w:rPr>
                      <w:rFonts w:ascii="Cambria Math" w:hAnsi="Cambria Math" w:cs="宋体" w:eastAsiaTheme="minorEastAsia"/>
                      <w:sz w:val="21"/>
                      <w:szCs w:val="21"/>
                    </w:rPr>
                    <m:t>C</m:t>
                  </m:r>
                  <m:ctrlPr>
                    <w:rPr>
                      <w:rFonts w:ascii="Cambria Math" w:hAnsi="Cambria Math" w:cs="宋体" w:eastAsiaTheme="minorEastAsia"/>
                      <w:sz w:val="21"/>
                      <w:szCs w:val="21"/>
                    </w:rPr>
                  </m:ctrlPr>
                </m:sup>
                <m:e>
                  <m:r>
                    <m:rPr/>
                    <w:rPr>
                      <w:rFonts w:ascii="Cambria Math" w:hAnsi="Cambria Math" w:cs="宋体" w:eastAsiaTheme="minorEastAsia"/>
                      <w:sz w:val="21"/>
                      <w:szCs w:val="21"/>
                    </w:rPr>
                    <m:t> </m:t>
                  </m:r>
                  <m:ctrlPr>
                    <w:rPr>
                      <w:rFonts w:ascii="Cambria Math" w:hAnsi="Cambria Math" w:cs="宋体" w:eastAsiaTheme="minorEastAsia"/>
                      <w:sz w:val="21"/>
                      <w:szCs w:val="21"/>
                    </w:rPr>
                  </m:ctrlPr>
                </m:e>
              </m:nary>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p>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j</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V</m:t>
                      </m:r>
                      <m:ctrlPr>
                        <w:rPr>
                          <w:rFonts w:ascii="Cambria Math" w:hAnsi="Cambria Math" w:cs="宋体" w:eastAsiaTheme="minorEastAsia"/>
                          <w:sz w:val="21"/>
                          <w:szCs w:val="21"/>
                        </w:rPr>
                      </m:ctrlPr>
                    </m:sup>
                  </m:sSubSup>
                  <m:ctrlPr>
                    <w:rPr>
                      <w:rFonts w:ascii="Cambria Math" w:hAnsi="Cambria Math" w:cs="宋体" w:eastAsiaTheme="minorEastAsia"/>
                      <w:sz w:val="21"/>
                      <w:szCs w:val="21"/>
                    </w:rPr>
                  </m:ctrlPr>
                </m:sup>
              </m:sSup>
              <m:ctrlPr>
                <w:rPr>
                  <w:rFonts w:ascii="Cambria Math" w:hAnsi="Cambria Math" w:cs="宋体" w:eastAsiaTheme="minorEastAsia"/>
                  <w:sz w:val="21"/>
                  <w:szCs w:val="21"/>
                </w:rPr>
              </m:ctrlPr>
            </m:den>
          </m:f>
          <m:r>
            <m:rPr/>
            <w:rPr>
              <w:rFonts w:ascii="Cambria Math" w:hAnsi="Cambria Math" w:cs="宋体" w:eastAsiaTheme="minorEastAsia"/>
              <w:sz w:val="21"/>
              <w:szCs w:val="21"/>
            </w:rPr>
            <m:t>+</m:t>
          </m:r>
          <m:r>
            <m:rPr>
              <m:sty m:val="p"/>
            </m:rPr>
            <w:rPr>
              <w:rFonts w:ascii="Cambria Math" w:hAnsi="Cambria Math" w:cs="宋体" w:eastAsiaTheme="minorEastAsia"/>
              <w:sz w:val="21"/>
              <w:szCs w:val="21"/>
            </w:rPr>
            <m:t>log</m:t>
          </m:r>
          <m:r>
            <m:rPr/>
            <w:rPr>
              <w:rFonts w:ascii="Cambria Math" w:hAnsi="Cambria Math" w:cs="宋体" w:eastAsiaTheme="minorEastAsia"/>
              <w:sz w:val="21"/>
              <w:szCs w:val="21"/>
            </w:rPr>
            <m:t>⁡</m:t>
          </m:r>
          <m:f>
            <m:fPr>
              <m:ctrlPr>
                <w:rPr>
                  <w:rFonts w:ascii="Cambria Math" w:hAnsi="Cambria Math" w:cs="宋体" w:eastAsiaTheme="minorEastAsia"/>
                  <w:sz w:val="21"/>
                  <w:szCs w:val="21"/>
                </w:rPr>
              </m:ctrlPr>
            </m:fPr>
            <m:num>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p>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i</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L</m:t>
                      </m:r>
                      <m:ctrlPr>
                        <w:rPr>
                          <w:rFonts w:ascii="Cambria Math" w:hAnsi="Cambria Math" w:cs="宋体" w:eastAsiaTheme="minorEastAsia"/>
                          <w:sz w:val="21"/>
                          <w:szCs w:val="21"/>
                        </w:rPr>
                      </m:ctrlPr>
                    </m:sup>
                  </m:sSubSup>
                  <m:ctrlPr>
                    <w:rPr>
                      <w:rFonts w:ascii="Cambria Math" w:hAnsi="Cambria Math" w:cs="宋体" w:eastAsiaTheme="minorEastAsia"/>
                      <w:sz w:val="21"/>
                      <w:szCs w:val="21"/>
                    </w:rPr>
                  </m:ctrlPr>
                </m:sup>
              </m:sSup>
              <m:ctrlPr>
                <w:rPr>
                  <w:rFonts w:ascii="Cambria Math" w:hAnsi="Cambria Math" w:cs="宋体" w:eastAsiaTheme="minorEastAsia"/>
                  <w:sz w:val="21"/>
                  <w:szCs w:val="21"/>
                </w:rPr>
              </m:ctrlPr>
            </m:num>
            <m:den>
              <m:nary>
                <m:naryPr>
                  <m:chr m:val="∑"/>
                  <m:grow m:val="1"/>
                  <m:limLoc m:val="undOvr"/>
                  <m:ctrlPr>
                    <w:rPr>
                      <w:rFonts w:ascii="Cambria Math" w:hAnsi="Cambria Math" w:cs="宋体" w:eastAsiaTheme="minorEastAsia"/>
                      <w:sz w:val="21"/>
                      <w:szCs w:val="21"/>
                    </w:rPr>
                  </m:ctrlPr>
                </m:naryPr>
                <m:sub>
                  <m:r>
                    <m:rPr/>
                    <w:rPr>
                      <w:rFonts w:ascii="Cambria Math" w:hAnsi="Cambria Math" w:cs="宋体" w:eastAsiaTheme="minorEastAsia"/>
                      <w:sz w:val="21"/>
                      <w:szCs w:val="21"/>
                    </w:rPr>
                    <m:t>j</m:t>
                  </m:r>
                  <m:ctrlPr>
                    <w:rPr>
                      <w:rFonts w:ascii="Cambria Math" w:hAnsi="Cambria Math" w:cs="宋体" w:eastAsiaTheme="minorEastAsia"/>
                      <w:sz w:val="21"/>
                      <w:szCs w:val="21"/>
                    </w:rPr>
                  </m:ctrlPr>
                </m:sub>
                <m:sup>
                  <m:r>
                    <m:rPr/>
                    <w:rPr>
                      <w:rFonts w:ascii="Cambria Math" w:hAnsi="Cambria Math" w:cs="宋体" w:eastAsiaTheme="minorEastAsia"/>
                      <w:sz w:val="21"/>
                      <w:szCs w:val="21"/>
                    </w:rPr>
                    <m:t>C</m:t>
                  </m:r>
                  <m:ctrlPr>
                    <w:rPr>
                      <w:rFonts w:ascii="Cambria Math" w:hAnsi="Cambria Math" w:cs="宋体" w:eastAsiaTheme="minorEastAsia"/>
                      <w:sz w:val="21"/>
                      <w:szCs w:val="21"/>
                    </w:rPr>
                  </m:ctrlPr>
                </m:sup>
                <m:e>
                  <m:r>
                    <m:rPr/>
                    <w:rPr>
                      <w:rFonts w:ascii="Cambria Math" w:hAnsi="Cambria Math" w:cs="宋体" w:eastAsiaTheme="minorEastAsia"/>
                      <w:sz w:val="21"/>
                      <w:szCs w:val="21"/>
                    </w:rPr>
                    <m:t> </m:t>
                  </m:r>
                  <m:ctrlPr>
                    <w:rPr>
                      <w:rFonts w:ascii="Cambria Math" w:hAnsi="Cambria Math" w:cs="宋体" w:eastAsiaTheme="minorEastAsia"/>
                      <w:sz w:val="21"/>
                      <w:szCs w:val="21"/>
                    </w:rPr>
                  </m:ctrlPr>
                </m:e>
              </m:nary>
              <m:sSup>
                <m:sSupPr>
                  <m:ctrlPr>
                    <w:rPr>
                      <w:rFonts w:ascii="Cambria Math" w:hAnsi="Cambria Math" w:cs="宋体" w:eastAsiaTheme="minorEastAsia"/>
                      <w:sz w:val="21"/>
                      <w:szCs w:val="21"/>
                    </w:rPr>
                  </m:ctrlPr>
                </m:sSupPr>
                <m:e>
                  <m:r>
                    <m:rPr/>
                    <w:rPr>
                      <w:rFonts w:ascii="Cambria Math" w:hAnsi="Cambria Math" w:cs="宋体" w:eastAsiaTheme="minorEastAsia"/>
                      <w:sz w:val="21"/>
                      <w:szCs w:val="21"/>
                    </w:rPr>
                    <m:t>e</m:t>
                  </m:r>
                  <m:ctrlPr>
                    <w:rPr>
                      <w:rFonts w:ascii="Cambria Math" w:hAnsi="Cambria Math" w:cs="宋体" w:eastAsiaTheme="minorEastAsia"/>
                      <w:sz w:val="21"/>
                      <w:szCs w:val="21"/>
                    </w:rPr>
                  </m:ctrlPr>
                </m:e>
                <m:sup>
                  <m:sSubSup>
                    <m:sSubSupPr>
                      <m:ctrlPr>
                        <w:rPr>
                          <w:rFonts w:ascii="Cambria Math" w:hAnsi="Cambria Math" w:cs="宋体" w:eastAsiaTheme="minorEastAsia"/>
                          <w:sz w:val="21"/>
                          <w:szCs w:val="21"/>
                        </w:rPr>
                      </m:ctrlPr>
                    </m:sSubSupPr>
                    <m:e>
                      <m:r>
                        <m:rPr/>
                        <w:rPr>
                          <w:rFonts w:ascii="Cambria Math" w:hAnsi="Cambria Math" w:cs="宋体" w:eastAsiaTheme="minorEastAsia"/>
                          <w:sz w:val="21"/>
                          <w:szCs w:val="21"/>
                        </w:rPr>
                        <m:t>s</m:t>
                      </m:r>
                      <m:ctrlPr>
                        <w:rPr>
                          <w:rFonts w:ascii="Cambria Math" w:hAnsi="Cambria Math" w:cs="宋体" w:eastAsiaTheme="minorEastAsia"/>
                          <w:sz w:val="21"/>
                          <w:szCs w:val="21"/>
                        </w:rPr>
                      </m:ctrlPr>
                    </m:e>
                    <m:sub>
                      <m:r>
                        <m:rPr/>
                        <w:rPr>
                          <w:rFonts w:ascii="Cambria Math" w:hAnsi="Cambria Math" w:cs="宋体" w:eastAsiaTheme="minorEastAsia"/>
                          <w:sz w:val="21"/>
                          <w:szCs w:val="21"/>
                        </w:rPr>
                        <m:t>j</m:t>
                      </m:r>
                      <m:ctrlPr>
                        <w:rPr>
                          <w:rFonts w:ascii="Cambria Math" w:hAnsi="Cambria Math" w:cs="宋体" w:eastAsiaTheme="minorEastAsia"/>
                          <w:sz w:val="21"/>
                          <w:szCs w:val="21"/>
                        </w:rPr>
                      </m:ctrlPr>
                    </m:sub>
                    <m:sup>
                      <m:r>
                        <m:rPr>
                          <m:sty m:val="p"/>
                        </m:rPr>
                        <w:rPr>
                          <w:rFonts w:ascii="Cambria Math" w:hAnsi="Cambria Math" w:cs="宋体" w:eastAsiaTheme="minorEastAsia"/>
                          <w:sz w:val="21"/>
                          <w:szCs w:val="21"/>
                        </w:rPr>
                        <m:t>L</m:t>
                      </m:r>
                      <m:ctrlPr>
                        <w:rPr>
                          <w:rFonts w:ascii="Cambria Math" w:hAnsi="Cambria Math" w:cs="宋体" w:eastAsiaTheme="minorEastAsia"/>
                          <w:sz w:val="21"/>
                          <w:szCs w:val="21"/>
                        </w:rPr>
                      </m:ctrlPr>
                    </m:sup>
                  </m:sSubSup>
                  <m:ctrlPr>
                    <w:rPr>
                      <w:rFonts w:ascii="Cambria Math" w:hAnsi="Cambria Math" w:cs="宋体" w:eastAsiaTheme="minorEastAsia"/>
                      <w:sz w:val="21"/>
                      <w:szCs w:val="21"/>
                    </w:rPr>
                  </m:ctrlPr>
                </m:sup>
              </m:sSup>
              <m:ctrlPr>
                <w:rPr>
                  <w:rFonts w:ascii="Cambria Math" w:hAnsi="Cambria Math" w:cs="宋体" w:eastAsiaTheme="minorEastAsia"/>
                  <w:sz w:val="21"/>
                  <w:szCs w:val="21"/>
                </w:rPr>
              </m:ctrlPr>
            </m:den>
          </m:f>
          <m:r>
            <m:rPr/>
            <w:rPr>
              <w:rFonts w:ascii="Cambria Math" w:hAnsi="Cambria Math" w:cs="宋体" w:eastAsiaTheme="minorEastAsia"/>
              <w:sz w:val="21"/>
              <w:szCs w:val="21"/>
            </w:rPr>
            <m:t>)</m:t>
          </m:r>
        </m:oMath>
      </m:oMathPara>
    </w:p>
    <w:p>
      <w:pPr>
        <w:pStyle w:val="98"/>
        <w:ind w:firstLine="417" w:firstLineChars="199"/>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训练COPE模型的总损失是跨域损失和分类损失的结合。</w:t>
      </w:r>
    </w:p>
    <w:p>
      <w:pPr>
        <w:pStyle w:val="98"/>
        <w:ind w:firstLine="417" w:firstLineChars="199"/>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在形式上,</w:t>
      </w:r>
    </w:p>
    <w:p>
      <w:pPr>
        <w:pStyle w:val="98"/>
        <w:ind w:firstLine="417" w:firstLineChars="199"/>
        <w:rPr>
          <w:rFonts w:cs="宋体" w:asciiTheme="minorEastAsia" w:hAnsiTheme="minorEastAsia" w:eastAsiaTheme="minorEastAsia"/>
          <w:sz w:val="21"/>
          <w:szCs w:val="21"/>
        </w:rPr>
      </w:pPr>
      <m:oMathPara>
        <m:oMath>
          <m:sSub>
            <m:sSubPr>
              <m:ctrlPr>
                <w:rPr>
                  <w:rFonts w:ascii="Cambria Math" w:hAnsi="Cambria Math" w:cs="宋体" w:eastAsiaTheme="minorEastAsia"/>
                  <w:sz w:val="21"/>
                  <w:szCs w:val="21"/>
                </w:rPr>
              </m:ctrlPr>
            </m:sSubPr>
            <m:e>
              <m:r>
                <m:rPr>
                  <m:scr m:val="script"/>
                </m:rPr>
                <w:rPr>
                  <w:rFonts w:ascii="Cambria Math" w:hAnsi="Cambria Math" w:cs="宋体" w:eastAsiaTheme="minorEastAsia"/>
                  <w:sz w:val="21"/>
                  <w:szCs w:val="21"/>
                </w:rPr>
                <m:t>ℒ</m:t>
              </m:r>
              <m:ctrlPr>
                <w:rPr>
                  <w:rFonts w:ascii="Cambria Math" w:hAnsi="Cambria Math" w:cs="宋体" w:eastAsiaTheme="minorEastAsia"/>
                  <w:sz w:val="21"/>
                  <w:szCs w:val="21"/>
                </w:rPr>
              </m:ctrlPr>
            </m:e>
            <m:sub>
              <m:r>
                <m:rPr/>
                <w:rPr>
                  <w:rFonts w:ascii="Cambria Math" w:hAnsi="Cambria Math" w:cs="宋体" w:eastAsiaTheme="minorEastAsia"/>
                  <w:sz w:val="21"/>
                  <w:szCs w:val="21"/>
                </w:rPr>
                <m:t>f</m:t>
              </m:r>
              <m:ctrlPr>
                <w:rPr>
                  <w:rFonts w:ascii="Cambria Math" w:hAnsi="Cambria Math" w:cs="宋体" w:eastAsiaTheme="minorEastAsia"/>
                  <w:sz w:val="21"/>
                  <w:szCs w:val="21"/>
                </w:rPr>
              </m:ctrlPr>
            </m:sub>
          </m:sSub>
          <m:r>
            <m:rPr/>
            <w:rPr>
              <w:rFonts w:ascii="Cambria Math" w:hAnsi="Cambria Math" w:cs="宋体" w:eastAsiaTheme="minorEastAsia"/>
              <w:sz w:val="21"/>
              <w:szCs w:val="21"/>
            </w:rPr>
            <m:t>=</m:t>
          </m:r>
          <m:sSub>
            <m:sSubPr>
              <m:ctrlPr>
                <w:rPr>
                  <w:rFonts w:ascii="Cambria Math" w:hAnsi="Cambria Math" w:cs="宋体" w:eastAsiaTheme="minorEastAsia"/>
                  <w:sz w:val="21"/>
                  <w:szCs w:val="21"/>
                </w:rPr>
              </m:ctrlPr>
            </m:sSubPr>
            <m:e>
              <m:r>
                <m:rPr>
                  <m:scr m:val="script"/>
                </m:rPr>
                <w:rPr>
                  <w:rFonts w:ascii="Cambria Math" w:hAnsi="Cambria Math" w:cs="宋体" w:eastAsiaTheme="minorEastAsia"/>
                  <w:sz w:val="21"/>
                  <w:szCs w:val="21"/>
                </w:rPr>
                <m:t>ℒ</m:t>
              </m:r>
              <m:ctrlPr>
                <w:rPr>
                  <w:rFonts w:ascii="Cambria Math" w:hAnsi="Cambria Math" w:cs="宋体" w:eastAsiaTheme="minorEastAsia"/>
                  <w:sz w:val="21"/>
                  <w:szCs w:val="21"/>
                </w:rPr>
              </m:ctrlPr>
            </m:e>
            <m:sub>
              <m:r>
                <m:rPr/>
                <w:rPr>
                  <w:rFonts w:ascii="Cambria Math" w:hAnsi="Cambria Math" w:cs="宋体" w:eastAsiaTheme="minorEastAsia"/>
                  <w:sz w:val="21"/>
                  <w:szCs w:val="21"/>
                </w:rPr>
                <m:t>cd</m:t>
              </m:r>
              <m:ctrlPr>
                <w:rPr>
                  <w:rFonts w:ascii="Cambria Math" w:hAnsi="Cambria Math" w:cs="宋体" w:eastAsiaTheme="minorEastAsia"/>
                  <w:sz w:val="21"/>
                  <w:szCs w:val="21"/>
                </w:rPr>
              </m:ctrlPr>
            </m:sub>
          </m:sSub>
          <m:r>
            <m:rPr/>
            <w:rPr>
              <w:rFonts w:ascii="Cambria Math" w:hAnsi="Cambria Math" w:cs="宋体" w:eastAsiaTheme="minorEastAsia"/>
              <w:sz w:val="21"/>
              <w:szCs w:val="21"/>
            </w:rPr>
            <m:t>+β</m:t>
          </m:r>
          <m:sSub>
            <m:sSubPr>
              <m:ctrlPr>
                <w:rPr>
                  <w:rFonts w:ascii="Cambria Math" w:hAnsi="Cambria Math" w:cs="宋体" w:eastAsiaTheme="minorEastAsia"/>
                  <w:sz w:val="21"/>
                  <w:szCs w:val="21"/>
                </w:rPr>
              </m:ctrlPr>
            </m:sSubPr>
            <m:e>
              <m:r>
                <m:rPr>
                  <m:scr m:val="script"/>
                </m:rPr>
                <w:rPr>
                  <w:rFonts w:ascii="Cambria Math" w:hAnsi="Cambria Math" w:cs="宋体" w:eastAsiaTheme="minorEastAsia"/>
                  <w:sz w:val="21"/>
                  <w:szCs w:val="21"/>
                </w:rPr>
                <m:t>ℒ</m:t>
              </m:r>
              <m:ctrlPr>
                <w:rPr>
                  <w:rFonts w:ascii="Cambria Math" w:hAnsi="Cambria Math" w:cs="宋体" w:eastAsiaTheme="minorEastAsia"/>
                  <w:sz w:val="21"/>
                  <w:szCs w:val="21"/>
                </w:rPr>
              </m:ctrlPr>
            </m:e>
            <m:sub>
              <m:r>
                <m:rPr/>
                <w:rPr>
                  <w:rFonts w:ascii="Cambria Math" w:hAnsi="Cambria Math" w:cs="宋体" w:eastAsiaTheme="minorEastAsia"/>
                  <w:sz w:val="21"/>
                  <w:szCs w:val="21"/>
                </w:rPr>
                <m:t>cls</m:t>
              </m:r>
              <m:ctrlPr>
                <w:rPr>
                  <w:rFonts w:ascii="Cambria Math" w:hAnsi="Cambria Math" w:cs="宋体" w:eastAsiaTheme="minorEastAsia"/>
                  <w:sz w:val="21"/>
                  <w:szCs w:val="21"/>
                </w:rPr>
              </m:ctrlPr>
            </m:sub>
          </m:sSub>
        </m:oMath>
      </m:oMathPara>
    </w:p>
    <w:p>
      <w:pPr>
        <w:pStyle w:val="98"/>
        <w:ind w:left="0" w:leftChars="0" w:firstLine="0" w:firstLineChars="0"/>
        <w:rPr>
          <w:rFonts w:hint="eastAsia" w:ascii="黑体" w:hAnsi="Times New Roman" w:eastAsia="黑体" w:cs="Times New Roman"/>
          <w:kern w:val="2"/>
          <w:sz w:val="18"/>
          <w:szCs w:val="18"/>
          <w:lang w:val="en-US" w:eastAsia="zh-CN" w:bidi="ar-SA"/>
        </w:rPr>
      </w:pPr>
      <w:r>
        <w:rPr>
          <w:rFonts w:hint="eastAsia" w:cs="宋体" w:asciiTheme="minorEastAsia" w:hAnsiTheme="minorEastAsia" w:eastAsiaTheme="minorEastAsia"/>
          <w:sz w:val="21"/>
          <w:szCs w:val="21"/>
        </w:rPr>
        <w:t>式中，β为分类损失权重。</w:t>
      </w:r>
    </w:p>
    <w:p>
      <w:pPr>
        <w:pStyle w:val="98"/>
        <w:ind w:firstLine="358" w:firstLineChars="199"/>
        <w:jc w:val="both"/>
        <w:rPr>
          <w:rFonts w:hint="eastAsia" w:ascii="黑体" w:hAnsi="Times New Roman" w:eastAsia="黑体" w:cs="Times New Roman"/>
          <w:kern w:val="2"/>
          <w:sz w:val="18"/>
          <w:szCs w:val="18"/>
          <w:lang w:val="en-US" w:eastAsia="zh-CN" w:bidi="ar-SA"/>
        </w:rPr>
      </w:pPr>
    </w:p>
    <w:p>
      <w:pPr>
        <w:pStyle w:val="98"/>
        <w:ind w:firstLine="358" w:firstLineChars="199"/>
        <w:jc w:val="center"/>
        <w:rPr>
          <w:rFonts w:hint="eastAsia" w:ascii="黑体" w:hAnsi="Times New Roman" w:eastAsia="黑体" w:cs="Times New Roman"/>
          <w:kern w:val="2"/>
          <w:sz w:val="18"/>
          <w:szCs w:val="18"/>
          <w:lang w:val="en-US" w:eastAsia="zh-CN" w:bidi="ar-SA"/>
        </w:rPr>
      </w:pPr>
      <w:r>
        <w:rPr>
          <w:rFonts w:hint="eastAsia" w:ascii="黑体" w:hAnsi="Times New Roman" w:eastAsia="黑体" w:cs="Times New Roman"/>
          <w:kern w:val="2"/>
          <w:sz w:val="18"/>
          <w:szCs w:val="18"/>
          <w:lang w:val="en-US" w:eastAsia="zh-CN" w:bidi="ar-SA"/>
        </w:rPr>
        <w:t>表2 不同相似函数sqk的实现。</w:t>
      </w:r>
    </w:p>
    <w:tbl>
      <w:tblPr>
        <w:tblStyle w:val="26"/>
        <w:tblW w:w="4995" w:type="pct"/>
        <w:tblInd w:w="0" w:type="dxa"/>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shd w:val="clear" w:color="auto" w:fill="FFFFFF"/>
        <w:tblLayout w:type="autofit"/>
        <w:tblCellMar>
          <w:top w:w="15" w:type="dxa"/>
          <w:left w:w="15" w:type="dxa"/>
          <w:bottom w:w="15" w:type="dxa"/>
          <w:right w:w="15" w:type="dxa"/>
        </w:tblCellMar>
      </w:tblPr>
      <w:tblGrid>
        <w:gridCol w:w="1847"/>
        <w:gridCol w:w="1366"/>
        <w:gridCol w:w="1468"/>
      </w:tblGrid>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shd w:val="clear" w:color="auto" w:fill="FFFFFF"/>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eastAsia"/>
                <w:sz w:val="15"/>
                <w:szCs w:val="15"/>
              </w:rPr>
            </w:pPr>
            <w:r>
              <w:rPr>
                <w:rFonts w:hint="default"/>
                <w:sz w:val="15"/>
                <w:szCs w:val="15"/>
                <w:lang w:val="en-US" w:eastAsia="zh-CN"/>
              </w:rPr>
              <w:t>相似性Sqk</w:t>
            </w:r>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eastAsia="宋体"/>
                <w:sz w:val="15"/>
                <w:szCs w:val="15"/>
                <w:lang w:val="en-US" w:eastAsia="zh-CN"/>
              </w:rPr>
            </w:pPr>
            <w:r>
              <w:rPr>
                <w:rFonts w:hint="eastAsia"/>
                <w:sz w:val="15"/>
                <w:szCs w:val="15"/>
                <w:lang w:val="en-US" w:eastAsia="zh-CN"/>
              </w:rPr>
              <w:t>领域</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eastAsia"/>
                <w:sz w:val="15"/>
                <w:szCs w:val="15"/>
                <w:lang w:val="en-US" w:eastAsia="zh-CN"/>
              </w:rPr>
              <w:t>形式</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pStyle w:val="100"/>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产品视频</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融合视觉</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eastAsia="宋体"/>
                <w:sz w:val="15"/>
                <w:szCs w:val="15"/>
                <w:lang w:val="en-US" w:eastAsia="zh-CN"/>
              </w:rPr>
            </w:pPr>
            <w:r>
              <w:rPr>
                <w:rFonts w:hint="eastAsia"/>
                <w:sz w:val="15"/>
                <w:szCs w:val="15"/>
                <w:lang w:val="en-US" w:eastAsia="zh-CN"/>
              </w:rPr>
              <w:t>产品直播</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融合视觉</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lang w:val="en-US"/>
              </w:rPr>
            </w:pPr>
            <w:r>
              <w:rPr>
                <w:rFonts w:hint="eastAsia"/>
                <w:sz w:val="15"/>
                <w:szCs w:val="15"/>
                <w:lang w:val="en-US" w:eastAsia="zh-CN"/>
              </w:rPr>
              <w:t>视频直播</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融合视觉</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eastAsia"/>
                <w:sz w:val="15"/>
                <w:szCs w:val="15"/>
                <w:lang w:val="en-US" w:eastAsia="zh-CN"/>
              </w:rPr>
              <w:t>产品直播</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融合视觉</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eastAsia"/>
                <w:sz w:val="15"/>
                <w:szCs w:val="15"/>
                <w:lang w:val="en-US" w:eastAsia="zh-CN"/>
              </w:rPr>
              <w:t>产品直播</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文本视觉</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16"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eastAsia"/>
                <w:sz w:val="15"/>
                <w:szCs w:val="15"/>
                <w:lang w:val="en-US" w:eastAsia="zh-CN"/>
              </w:rPr>
              <w:t>产品直播</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文本视觉</w:t>
            </w:r>
          </w:p>
        </w:tc>
      </w:tr>
      <w:tr>
        <w:tblPrEx>
          <w:tblBorders>
            <w:top w:val="single" w:color="000000" w:themeColor="text1" w:sz="12" w:space="0"/>
            <w:left w:val="single" w:color="E8EAEC" w:sz="4" w:space="0"/>
            <w:bottom w:val="single" w:color="000000" w:themeColor="text1" w:sz="12" w:space="0"/>
            <w:right w:val="single" w:color="E8EAEC" w:sz="4" w:space="0"/>
            <w:insideH w:val="single" w:color="000000" w:themeColor="text1" w:sz="4" w:space="0"/>
            <w:insideV w:val="none" w:color="auto" w:sz="0" w:space="0"/>
          </w:tblBorders>
          <w:tblCellMar>
            <w:top w:w="15" w:type="dxa"/>
            <w:left w:w="15" w:type="dxa"/>
            <w:bottom w:w="15" w:type="dxa"/>
            <w:right w:w="15" w:type="dxa"/>
          </w:tblCellMar>
        </w:tblPrEx>
        <w:trPr>
          <w:trHeight w:val="427" w:hRule="atLeast"/>
        </w:trPr>
        <w:tc>
          <w:tcPr>
            <w:tcW w:w="1972"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m:oMathPara>
              <m:oMathParaPr>
                <m:jc m:val="center"/>
              </m:oMathParaPr>
              <m:oMath>
                <m:r>
                  <m:rPr>
                    <m:sty m:val="p"/>
                  </m:rPr>
                  <m:t>&lt;</m:t>
                </m:r>
                <m:sSubSup>
                  <m:sSubSupPr/>
                  <m:e>
                    <m:r>
                      <m:rPr/>
                      <m:t>E</m:t>
                    </m:r>
                  </m:e>
                  <m:sub>
                    <m:r>
                      <m:rPr/>
                      <m:t>fus</m:t>
                    </m:r>
                  </m:sub>
                  <m:sup>
                    <m:r>
                      <m:rPr>
                        <m:sty m:val="p"/>
                      </m:rPr>
                      <m:t>P</m:t>
                    </m:r>
                  </m:sup>
                </m:sSubSup>
                <m:d>
                  <m:dPr>
                    <m:sepChr m:val=""/>
                  </m:dPr>
                  <m:e>
                    <m:r>
                      <m:rPr/>
                      <m:t>q</m:t>
                    </m:r>
                  </m:e>
                </m:d>
                <m:r>
                  <m:rPr>
                    <m:sty m:val="p"/>
                  </m:rPr>
                  <m:t>,</m:t>
                </m:r>
                <m:sSubSup>
                  <m:sSubSupPr/>
                  <m:e>
                    <m:r>
                      <m:rPr/>
                      <m:t>E</m:t>
                    </m:r>
                  </m:e>
                  <m:sub>
                    <m:r>
                      <m:rPr/>
                      <m:t>vis</m:t>
                    </m:r>
                  </m:sub>
                  <m:sup>
                    <m:r>
                      <m:rPr>
                        <m:sty m:val="p"/>
                      </m:rPr>
                      <m:t>V</m:t>
                    </m:r>
                  </m:sup>
                </m:sSubSup>
                <m:d>
                  <m:dPr>
                    <m:sepChr m:val=""/>
                  </m:dPr>
                  <m:e>
                    <m:r>
                      <m:rPr/>
                      <m:t>k</m:t>
                    </m:r>
                  </m:e>
                </m:d>
                <m:r>
                  <m:rPr>
                    <m:sty m:val="p"/>
                  </m:rPr>
                  <m:t>&gt;</m:t>
                </m:r>
              </m:oMath>
            </m:oMathPara>
          </w:p>
        </w:tc>
        <w:tc>
          <w:tcPr>
            <w:tcW w:w="1459"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eastAsia"/>
                <w:sz w:val="15"/>
                <w:szCs w:val="15"/>
                <w:lang w:val="en-US" w:eastAsia="zh-CN"/>
              </w:rPr>
              <w:t>产品直播</w:t>
            </w:r>
          </w:p>
        </w:tc>
        <w:tc>
          <w:tcPr>
            <w:tcW w:w="1567" w:type="pct"/>
            <w:tcBorders>
              <w:tl2br w:val="nil"/>
              <w:tr2bl w:val="nil"/>
            </w:tcBorders>
            <w:shd w:val="clear" w:color="auto" w:fill="FFFFFF"/>
            <w:tcMar>
              <w:top w:w="40" w:type="dxa"/>
              <w:left w:w="40" w:type="dxa"/>
              <w:bottom w:w="40" w:type="dxa"/>
              <w:right w:w="40" w:type="dxa"/>
            </w:tcMar>
            <w:vAlign w:val="center"/>
          </w:tcPr>
          <w:p>
            <w:pPr>
              <w:jc w:val="center"/>
              <w:rPr>
                <w:rFonts w:hint="default"/>
                <w:sz w:val="15"/>
                <w:szCs w:val="15"/>
              </w:rPr>
            </w:pPr>
            <w:r>
              <w:rPr>
                <w:rFonts w:hint="default"/>
                <w:sz w:val="15"/>
                <w:szCs w:val="15"/>
                <w:lang w:val="en-US" w:eastAsia="zh-CN"/>
              </w:rPr>
              <w:t>文本视觉</w:t>
            </w:r>
          </w:p>
        </w:tc>
      </w:tr>
    </w:tbl>
    <w:p>
      <w:pPr>
        <w:pStyle w:val="98"/>
        <w:ind w:firstLine="417" w:firstLineChars="199"/>
        <w:rPr>
          <w:rFonts w:hint="eastAsia" w:cs="宋体" w:asciiTheme="minorEastAsia" w:hAnsiTheme="minorEastAsia" w:eastAsiaTheme="minorEastAsia"/>
          <w:sz w:val="21"/>
          <w:szCs w:val="21"/>
        </w:rPr>
      </w:pPr>
    </w:p>
    <w:p>
      <w:pPr>
        <w:pStyle w:val="98"/>
        <w:ind w:firstLine="417" w:firstLineChars="199"/>
        <w:rPr>
          <w:rFonts w:hint="eastAsia" w:cs="宋体" w:asciiTheme="minorEastAsia" w:hAnsiTheme="minorEastAsia" w:eastAsiaTheme="minorEastAsia"/>
          <w:sz w:val="21"/>
          <w:szCs w:val="21"/>
        </w:rPr>
      </w:pPr>
    </w:p>
    <w:p>
      <w:pPr>
        <w:pStyle w:val="4"/>
        <w:bidi w:val="0"/>
      </w:pPr>
      <w:r>
        <w:rPr>
          <w:rFonts w:hint="eastAsia"/>
        </w:rPr>
        <w:t>实验结果</w:t>
      </w:r>
    </w:p>
    <w:p>
      <w:pPr>
        <w:pStyle w:val="98"/>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在本节中，我们将评估我们提出的COPE模型，并将其与ROPE数据集上的最先进模型进行比较。考虑了跨域产品检索任务和单域分类任务。由于没有现有的方法可以精确地适用于我们的跨域设置，我们将COPE模型与多模态视觉语言模型</w:t>
      </w:r>
      <w:r>
        <w:rPr>
          <w:rFonts w:hint="eastAsia" w:ascii="Times New Roman" w:hAnsi="Times New Roman" w:eastAsia="宋体" w:cs="Times New Roman"/>
          <w:kern w:val="2"/>
          <w:sz w:val="24"/>
          <w:szCs w:val="24"/>
          <w:vertAlign w:val="superscript"/>
          <w:lang w:val="en-US" w:eastAsia="zh-CN" w:bidi="ar-SA"/>
        </w:rPr>
        <w:t>[5,16,19,20,31]</w:t>
      </w:r>
      <w:r>
        <w:rPr>
          <w:rFonts w:hint="eastAsia" w:cs="宋体" w:asciiTheme="minorEastAsia" w:hAnsiTheme="minorEastAsia" w:eastAsiaTheme="minorEastAsia"/>
          <w:sz w:val="21"/>
          <w:szCs w:val="21"/>
        </w:rPr>
        <w:t>进行比较，这些模型没有在我们的数据集上进行微调。通过平均图像和文本特征来获得这些模型的产品页面表示。通过平均所有帧的表示提取短视频和直播表示。</w:t>
      </w:r>
    </w:p>
    <w:p>
      <w:pPr>
        <w:pStyle w:val="98"/>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在表3的第一个隔间中比较了用一般图像文本对训练的视觉语言模型。</w:t>
      </w:r>
    </w:p>
    <w:p>
      <w:pPr>
        <w:pStyle w:val="98"/>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我们可以看到，在两个评估任务的每一个设置上，它们的性能都不如我们的COPE模型。</w:t>
      </w:r>
    </w:p>
    <w:p>
      <w:pPr>
        <w:pStyle w:val="98"/>
        <w:ind w:firstLine="0" w:firstLineChars="0"/>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在检索任务和分类任务中，在P→L、L→P、V→L、L→V等动态相关设置下的表现明显低于其他设置。</w:t>
      </w:r>
    </w:p>
    <w:p>
      <w:pPr>
        <w:pStyle w:val="98"/>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COPE模型在P→V检索任务中获得82.58% R@1，在P→V分类任务中获得59.84% Acc。相比之下，COPE在P→L设置下的性能分别为54.06%和34.95%。实时流中的产品的规模和视图与产品页面不同。</w:t>
      </w:r>
    </w:p>
    <w:p>
      <w:pPr>
        <w:pStyle w:val="4"/>
        <w:bidi w:val="0"/>
      </w:pPr>
      <w:r>
        <w:rPr>
          <w:rFonts w:hint="eastAsia"/>
        </w:rPr>
        <w:t>分类损失有效性</w:t>
      </w:r>
    </w:p>
    <w:p>
      <w:pPr>
        <w:rPr>
          <w:rFonts w:hint="eastAsia" w:cs="宋体" w:asciiTheme="minorEastAsia" w:hAnsiTheme="minorEastAsia" w:eastAsiaTheme="minorEastAsia"/>
          <w:sz w:val="21"/>
          <w:szCs w:val="21"/>
        </w:rPr>
      </w:pPr>
      <w:r>
        <w:rPr>
          <w:rFonts w:cs="宋体" w:asciiTheme="minorEastAsia" w:hAnsiTheme="minorEastAsia" w:eastAsiaTheme="minorEastAsia"/>
          <w:sz w:val="21"/>
          <w:szCs w:val="21"/>
        </w:rPr>
        <w:tab/>
      </w:r>
      <w:r>
        <w:rPr>
          <w:rFonts w:hint="eastAsia" w:cs="宋体" w:asciiTheme="minorEastAsia" w:hAnsiTheme="minorEastAsia" w:eastAsiaTheme="minorEastAsia"/>
          <w:sz w:val="21"/>
          <w:szCs w:val="21"/>
        </w:rPr>
        <w:t>在本节中，我们将研究分类损失对模型的影响。由于我们的数据集中有大量的类别，我们使用了Partial-FC</w:t>
      </w:r>
      <w:r>
        <w:rPr>
          <w:rFonts w:hint="eastAsia" w:ascii="Times New Roman" w:hAnsi="Times New Roman" w:eastAsia="宋体" w:cs="Times New Roman"/>
          <w:kern w:val="2"/>
          <w:sz w:val="24"/>
          <w:szCs w:val="24"/>
          <w:vertAlign w:val="superscript"/>
          <w:lang w:val="en-US" w:eastAsia="zh-CN" w:bidi="ar-SA"/>
        </w:rPr>
        <w:t>[1]</w:t>
      </w:r>
      <w:r>
        <w:rPr>
          <w:rFonts w:hint="eastAsia" w:cs="宋体" w:asciiTheme="minorEastAsia" w:hAnsiTheme="minorEastAsia" w:eastAsiaTheme="minorEastAsia"/>
          <w:sz w:val="21"/>
          <w:szCs w:val="21"/>
        </w:rPr>
        <w:t>来提高训练效率。如表6所示，包含分类损失可以大大提高模型在所有检索任务中的性能。在P2V和L2P任务上，有lcl的模型在rank-1准确率上分别比没有lcl的模型高出30%和19%。它为分类损失的有效性提供了令人信服的证据。</w:t>
      </w:r>
    </w:p>
    <w:p>
      <w:pPr>
        <w:pStyle w:val="4"/>
        <w:bidi w:val="0"/>
      </w:pPr>
      <w:r>
        <w:rPr>
          <w:rFonts w:hint="eastAsia"/>
        </w:rPr>
        <w:t>采样策略</w:t>
      </w:r>
    </w:p>
    <w:p>
      <w:pPr>
        <w:ind w:firstLine="419"/>
        <w:rPr>
          <w:rFonts w:hint="eastAsia" w:ascii="黑体" w:hAnsi="黑体" w:eastAsia="黑体" w:cs="黑体"/>
          <w:sz w:val="18"/>
          <w:szCs w:val="18"/>
          <w:lang w:val="en-US" w:eastAsia="zh-CN"/>
        </w:rPr>
      </w:pPr>
      <w:r>
        <w:rPr>
          <w:rFonts w:hint="eastAsia" w:cs="宋体" w:asciiTheme="minorEastAsia" w:hAnsiTheme="minorEastAsia" w:eastAsiaTheme="minorEastAsia"/>
          <w:sz w:val="21"/>
          <w:szCs w:val="21"/>
        </w:rPr>
        <w:t>在表7中，我们给出了随机抽样和产品平衡抽样之间的比较。在有N个样本的小批量中，随机抽样是指从训练集中随机选择N个样本。相比之下，产品平衡抽样选择P个产品，然后从每个产品中抽样K个实例，得到N =</w:t>
      </w:r>
      <w:r>
        <w:rPr>
          <w:rFonts w:cs="宋体"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P</w:t>
      </w:r>
      <w:r>
        <w:rPr>
          <w:rFonts w:cs="宋体"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x</w:t>
      </w:r>
      <w:r>
        <w:rPr>
          <w:rFonts w:cs="宋体"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K</w:t>
      </w:r>
      <w:r>
        <w:rPr>
          <w:rFonts w:cs="宋体"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样本。</w:t>
      </w:r>
    </w:p>
    <w:p>
      <w:pPr>
        <w:ind w:firstLine="419"/>
        <w:rPr>
          <w:rFonts w:hint="eastAsia" w:ascii="黑体" w:hAnsi="黑体" w:eastAsia="黑体" w:cs="宋体"/>
          <w:sz w:val="21"/>
          <w:szCs w:val="21"/>
        </w:rPr>
      </w:pPr>
      <w:r>
        <w:rPr>
          <w:rFonts w:hint="eastAsia" w:cs="宋体" w:asciiTheme="minorEastAsia" w:hAnsiTheme="minorEastAsia" w:eastAsiaTheme="minorEastAsia"/>
          <w:sz w:val="21"/>
          <w:szCs w:val="21"/>
        </w:rPr>
        <w:t>实验结果表明，均衡采样显著提高了模型的性能。</w:t>
      </w:r>
    </w:p>
    <w:p>
      <w:pPr>
        <w:pStyle w:val="4"/>
        <w:bidi w:val="0"/>
      </w:pPr>
      <w:r>
        <w:rPr>
          <w:rFonts w:hint="eastAsia"/>
        </w:rPr>
        <w:t>可视化</w:t>
      </w:r>
    </w:p>
    <w:p>
      <w:pPr>
        <w:ind w:firstLine="419"/>
        <w:rPr>
          <w:rFonts w:hint="eastAsia" w:cs="宋体" w:asciiTheme="minorEastAsia" w:hAnsiTheme="minorEastAsia" w:eastAsiaTheme="minorEastAsia"/>
          <w:sz w:val="21"/>
          <w:szCs w:val="21"/>
          <w:lang w:val="en-US" w:eastAsia="zh-CN"/>
        </w:rPr>
      </w:pPr>
      <w:r>
        <w:rPr>
          <w:rFonts w:hint="eastAsia" w:cs="宋体" w:asciiTheme="minorEastAsia" w:hAnsiTheme="minorEastAsia" w:eastAsiaTheme="minorEastAsia"/>
          <w:sz w:val="21"/>
          <w:szCs w:val="21"/>
        </w:rPr>
        <w:t>在图4中，我们展示了产品页面、短视频和直播流嵌入的t-SNE可视化。我们随机选择了30种产品及其对应的产品页面、短视频和直播来生成这种可视化。可视化清楚地说明了同一产品的嵌入紧密地定位在一起。</w:t>
      </w:r>
    </w:p>
    <w:p>
      <w:pPr>
        <w:pStyle w:val="98"/>
        <w:ind w:left="0" w:leftChars="0" w:firstLine="0" w:firstLineChars="0"/>
        <w:jc w:val="both"/>
        <w:rPr>
          <w:rFonts w:hint="eastAsia" w:ascii="黑体" w:hAnsi="黑体" w:eastAsia="黑体" w:cs="黑体"/>
          <w:sz w:val="18"/>
          <w:szCs w:val="18"/>
          <w:lang w:val="en-US" w:eastAsia="zh-CN"/>
        </w:rPr>
      </w:pPr>
    </w:p>
    <w:p>
      <w:pPr>
        <w:pStyle w:val="98"/>
        <w:ind w:left="0" w:leftChars="0" w:firstLine="0" w:firstLineChars="0"/>
        <w:jc w:val="both"/>
        <w:rPr>
          <w:rFonts w:hint="eastAsia" w:ascii="黑体" w:hAnsi="黑体" w:eastAsia="黑体" w:cs="黑体"/>
          <w:sz w:val="18"/>
          <w:szCs w:val="18"/>
          <w:lang w:val="en-US" w:eastAsia="zh-CN"/>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equalWidth="0" w:num="2">
            <w:col w:w="4606" w:space="425"/>
            <w:col w:w="4606"/>
          </w:cols>
          <w:docGrid w:type="lines" w:linePitch="312" w:charSpace="0"/>
        </w:sectPr>
      </w:pPr>
    </w:p>
    <w:p>
      <w:pPr>
        <w:pStyle w:val="98"/>
        <w:ind w:left="0" w:leftChars="0" w:firstLine="0" w:firstLineChars="0"/>
        <w:rPr>
          <w:rFonts w:cs="宋体" w:asciiTheme="minorEastAsia" w:hAnsiTheme="minorEastAsia" w:eastAsiaTheme="minorEastAsia"/>
          <w:sz w:val="21"/>
          <w:szCs w:val="21"/>
        </w:rPr>
      </w:pPr>
    </w:p>
    <w:p>
      <w:pPr>
        <w:pStyle w:val="98"/>
        <w:ind w:left="0" w:leftChars="0" w:firstLine="0" w:firstLineChars="0"/>
        <w:rPr>
          <w:rFonts w:cs="宋体" w:asciiTheme="minorEastAsia" w:hAnsiTheme="minorEastAsia" w:eastAsiaTheme="minorEastAsia"/>
          <w:sz w:val="21"/>
          <w:szCs w:val="21"/>
        </w:rPr>
      </w:pPr>
    </w:p>
    <w:p>
      <w:pPr>
        <w:pStyle w:val="98"/>
        <w:ind w:firstLine="0" w:firstLineChars="0"/>
        <w:jc w:val="center"/>
        <w:rPr>
          <w:rFonts w:hint="eastAsia" w:ascii="黑体" w:hAnsi="黑体" w:eastAsia="黑体" w:cs="黑体"/>
          <w:sz w:val="21"/>
          <w:szCs w:val="21"/>
          <w:lang w:val="en-US" w:eastAsia="zh-CN"/>
        </w:rPr>
      </w:pPr>
      <w:r>
        <w:rPr>
          <w:rFonts w:hint="eastAsia" w:ascii="黑体" w:hAnsi="黑体" w:eastAsia="黑体" w:cs="黑体"/>
          <w:sz w:val="18"/>
          <w:szCs w:val="18"/>
        </w:rPr>
        <w:t>表3</w:t>
      </w:r>
      <w:r>
        <w:rPr>
          <w:rFonts w:hint="eastAsia" w:ascii="黑体" w:hAnsi="黑体" w:eastAsia="黑体" w:cs="黑体"/>
          <w:sz w:val="18"/>
          <w:szCs w:val="18"/>
          <w:lang w:val="en-US" w:eastAsia="zh-CN"/>
        </w:rPr>
        <w:t xml:space="preserve"> </w:t>
      </w:r>
      <w:r>
        <w:rPr>
          <w:rFonts w:hint="eastAsia" w:ascii="黑体" w:hAnsi="黑体" w:eastAsia="黑体" w:cs="黑体"/>
          <w:i w:val="0"/>
          <w:iCs w:val="0"/>
          <w:caps w:val="0"/>
          <w:color w:val="000000"/>
          <w:spacing w:val="10"/>
          <w:sz w:val="18"/>
          <w:szCs w:val="18"/>
        </w:rPr>
        <w:t>COPE上的检索和分类结果。P、V、L分别代表产品页面域、短视频域和直播域</w:t>
      </w:r>
      <w:r>
        <w:rPr>
          <w:rFonts w:hint="eastAsia" w:ascii="黑体" w:hAnsi="黑体" w:eastAsia="黑体" w:cs="黑体"/>
          <w:i w:val="0"/>
          <w:iCs w:val="0"/>
          <w:caps w:val="0"/>
          <w:color w:val="000000"/>
          <w:spacing w:val="10"/>
          <w:sz w:val="21"/>
          <w:szCs w:val="21"/>
        </w:rPr>
        <w:t>。</w:t>
      </w:r>
    </w:p>
    <w:tbl>
      <w:tblPr>
        <w:tblStyle w:val="26"/>
        <w:tblW w:w="4992" w:type="pct"/>
        <w:tblInd w:w="0" w:type="dxa"/>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Layout w:type="autofit"/>
        <w:tblCellMar>
          <w:top w:w="0" w:type="dxa"/>
          <w:left w:w="108" w:type="dxa"/>
          <w:bottom w:w="0" w:type="dxa"/>
          <w:right w:w="108" w:type="dxa"/>
        </w:tblCellMar>
      </w:tblPr>
      <w:tblGrid>
        <w:gridCol w:w="1985"/>
        <w:gridCol w:w="1400"/>
        <w:gridCol w:w="890"/>
        <w:gridCol w:w="890"/>
        <w:gridCol w:w="833"/>
        <w:gridCol w:w="890"/>
        <w:gridCol w:w="772"/>
        <w:gridCol w:w="1037"/>
        <w:gridCol w:w="1140"/>
      </w:tblGrid>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307" w:hRule="atLeast"/>
        </w:trPr>
        <w:tc>
          <w:tcPr>
            <w:tcW w:w="1009" w:type="pct"/>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p>
        </w:tc>
        <w:tc>
          <w:tcPr>
            <w:tcW w:w="2698" w:type="pct"/>
            <w:gridSpan w:val="6"/>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跨域检索</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few-shot分类</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452" w:hRule="atLeast"/>
        </w:trPr>
        <w:tc>
          <w:tcPr>
            <w:tcW w:w="100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模型</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跨域设置</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R@1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R@5</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R@10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R @20</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R @50</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R @mean</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Top1 Acc</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restar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CLIP4CLIP</w:t>
            </w:r>
            <w:r>
              <w:rPr>
                <w:rFonts w:hint="eastAsia" w:ascii="Times New Roman" w:hAnsi="Times New Roman" w:eastAsia="宋体" w:cs="Times New Roman"/>
                <w:kern w:val="2"/>
                <w:sz w:val="24"/>
                <w:szCs w:val="24"/>
                <w:vertAlign w:val="superscript"/>
                <w:lang w:val="en-US" w:eastAsia="zh-CN" w:bidi="ar-SA"/>
              </w:rPr>
              <w:t xml:space="preserve"> [19]</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59.06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79.31</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86.02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91.01</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95.03</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82.08</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27.94</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38.48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52.25</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59.16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66.54</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74.65</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58.21</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26.55</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23.68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38.14</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45.32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54.27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66.79</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45.64</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9.97</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14. ,46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24.52</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30.77</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38.09</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48.91</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31.35</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10.75</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18.10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29.83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35.65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42.22</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52.01</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35.56</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9.47</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20.14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33.51</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40.44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48.05</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58.68</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40.16</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7.22</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restar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 xml:space="preserve">TS2-Net </w:t>
            </w:r>
            <w:r>
              <w:rPr>
                <w:rFonts w:hint="eastAsia" w:ascii="Times New Roman" w:hAnsi="Times New Roman" w:eastAsia="宋体" w:cs="Times New Roman"/>
                <w:kern w:val="2"/>
                <w:sz w:val="24"/>
                <w:szCs w:val="24"/>
                <w:vertAlign w:val="superscript"/>
                <w:lang w:val="en-US" w:eastAsia="zh-CN" w:bidi="ar-SA"/>
              </w:rPr>
              <w:t>[16]</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57.42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77.88</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85.29</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90.44</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94.92</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81.19</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26.11</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36.56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50.93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58.02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65.12</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73.89</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56.9</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24.09</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22.85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38.49</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45.91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54.11</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65.89</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45.45</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9.83</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14.16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24.52</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30.5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37.52</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48.37</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31.01</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10.57</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17.69</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29.63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34.84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41.27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50.95</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34.87</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9.68</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20.55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33. .80</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40.91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48. ,46</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59.16</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40.57</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7.40</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restar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 xml:space="preserve">X-CLIP </w:t>
            </w:r>
            <w:r>
              <w:rPr>
                <w:rFonts w:hint="eastAsia" w:ascii="Times New Roman" w:hAnsi="Times New Roman" w:eastAsia="宋体" w:cs="Times New Roman"/>
                <w:kern w:val="2"/>
                <w:sz w:val="24"/>
                <w:szCs w:val="24"/>
                <w:vertAlign w:val="superscript"/>
                <w:lang w:val="en-US" w:eastAsia="zh-CN" w:bidi="ar-SA"/>
              </w:rPr>
              <w:t>[20]</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56.61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77.46</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84.84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90.11</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94.51</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80.70</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26.97</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35.29</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49.41</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56.82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64.13</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72.54</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55.63</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23.55</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22.66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37.47</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44.33</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52.11</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63.38</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43.98</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9.72</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13.52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23.08</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28.92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35.98</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46.14</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29.52</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8.88</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17.64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28.71</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34.03</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40.17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49.67</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34.04</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9.05</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19.60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32.73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39.51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47.07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57.25</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39.23</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7.42</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restar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 xml:space="preserve">ChineseCLIP </w:t>
            </w:r>
            <w:r>
              <w:rPr>
                <w:rFonts w:hint="eastAsia" w:ascii="Times New Roman" w:hAnsi="Times New Roman" w:eastAsia="宋体" w:cs="Times New Roman"/>
                <w:kern w:val="2"/>
                <w:sz w:val="24"/>
                <w:szCs w:val="24"/>
                <w:vertAlign w:val="superscript"/>
                <w:lang w:val="en-US" w:eastAsia="zh-CN" w:bidi="ar-SA"/>
              </w:rPr>
              <w:t>[31]</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56.93</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79.80</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87.43</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92.48</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96.51</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82.65</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31.44</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40.48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57.85</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66.74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75.25</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84.03</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64.87</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29.10</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34.37</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50.83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58.66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67.05</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78.57</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57.89</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19.23</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22.49</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37.11</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46.78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56.30</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68.14</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46.16</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15.73</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25.51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38.28</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45.02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52.27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62.53</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44.72</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13.24</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28.28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45.87</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53.67</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62.18</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72.27</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52.45</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14.16</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restar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 xml:space="preserve">FashionClip </w:t>
            </w:r>
            <w:r>
              <w:rPr>
                <w:rFonts w:hint="eastAsia" w:ascii="Times New Roman" w:hAnsi="Times New Roman" w:eastAsia="宋体" w:cs="Times New Roman"/>
                <w:kern w:val="2"/>
                <w:sz w:val="24"/>
                <w:szCs w:val="24"/>
                <w:vertAlign w:val="superscript"/>
                <w:lang w:val="en-US" w:eastAsia="zh-CN" w:bidi="ar-SA"/>
              </w:rPr>
              <w:t>[5]</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44.31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67.06</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75.25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82.57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89.29</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71.69</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18.59</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25.51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40.75</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48.71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56.63</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65.94</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47.50</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15.88</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19.54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31.14</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36.98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43.91</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54.39</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37.19</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8.70</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11.22</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24.23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31.90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40.05</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50.96</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31.67</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7.57</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15.55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24. .88</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29.51</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35.07</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42.68</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29.53</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6.80</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21.20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35.72</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42.55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49.60</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58.77</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41.56</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10.40</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restar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COPE (Ours)</w:t>
            </w: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82.58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94.88</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97.54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98.89</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99.65</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94.70</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59.84</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65.20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76.56</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82.04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86.86</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91.69</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80.47</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57.12</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P2L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54.06</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71.07</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77.14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82.86</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89.70</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74.96</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34.95</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shd w:val="clear" w:color="auto" w:fill="auto"/>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L2P</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42.33</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56.48</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63.67</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71.11</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80.22</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62.76</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36.51</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267"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V2L</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45.95</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63.63</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70.64</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77.50</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85.47</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68.63</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30.43</w:t>
            </w:r>
          </w:p>
        </w:tc>
      </w:tr>
      <w:tr>
        <w:tblPrEx>
          <w:tblBorders>
            <w:top w:val="single" w:color="000000" w:sz="12" w:space="0"/>
            <w:left w:val="dotted" w:color="auto" w:sz="4" w:space="0"/>
            <w:bottom w:val="single" w:color="000000" w:sz="12" w:space="0"/>
            <w:right w:val="dotted" w:color="auto" w:sz="4" w:space="0"/>
            <w:insideH w:val="single" w:color="000000" w:sz="4" w:space="0"/>
            <w:insideV w:val="dotted" w:color="auto" w:sz="4" w:space="0"/>
          </w:tblBorders>
          <w:tblCellMar>
            <w:top w:w="0" w:type="dxa"/>
            <w:left w:w="108" w:type="dxa"/>
            <w:bottom w:w="0" w:type="dxa"/>
            <w:right w:w="108" w:type="dxa"/>
          </w:tblCellMar>
        </w:tblPrEx>
        <w:trPr>
          <w:trHeight w:val="90" w:hRule="atLeast"/>
        </w:trPr>
        <w:tc>
          <w:tcPr>
            <w:tcW w:w="1009" w:type="pct"/>
            <w:vMerge w:val="continue"/>
            <w:tcBorders>
              <w:tl2br w:val="nil"/>
              <w:tr2bl w:val="nil"/>
            </w:tcBorders>
            <w:shd w:val="clear" w:color="auto" w:fill="auto"/>
            <w:vAlign w:val="center"/>
          </w:tcPr>
          <w:p>
            <w:pPr>
              <w:jc w:val="center"/>
              <w:rPr>
                <w:rFonts w:hint="eastAsia"/>
                <w:sz w:val="15"/>
                <w:szCs w:val="15"/>
              </w:rPr>
            </w:pPr>
          </w:p>
        </w:tc>
        <w:tc>
          <w:tcPr>
            <w:tcW w:w="71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L2V</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48.28</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67.20</w:t>
            </w:r>
          </w:p>
        </w:tc>
        <w:tc>
          <w:tcPr>
            <w:tcW w:w="4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74.70</w:t>
            </w:r>
          </w:p>
        </w:tc>
        <w:tc>
          <w:tcPr>
            <w:tcW w:w="45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81.52</w:t>
            </w:r>
          </w:p>
        </w:tc>
        <w:tc>
          <w:tcPr>
            <w:tcW w:w="392"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89.15</w:t>
            </w:r>
          </w:p>
        </w:tc>
        <w:tc>
          <w:tcPr>
            <w:tcW w:w="523"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72.17</w:t>
            </w:r>
          </w:p>
        </w:tc>
        <w:tc>
          <w:tcPr>
            <w:tcW w:w="579" w:type="pct"/>
            <w:tcBorders>
              <w:tl2br w:val="nil"/>
              <w:tr2bl w:val="nil"/>
            </w:tcBorders>
            <w:shd w:val="clear" w:color="auto" w:fill="auto"/>
            <w:vAlign w:val="center"/>
          </w:tcPr>
          <w:p>
            <w:pPr>
              <w:jc w:val="center"/>
              <w:rPr>
                <w:rFonts w:hint="eastAsia"/>
                <w:sz w:val="15"/>
                <w:szCs w:val="15"/>
              </w:rPr>
            </w:pPr>
            <w:r>
              <w:rPr>
                <w:rFonts w:hint="eastAsia"/>
                <w:sz w:val="15"/>
                <w:szCs w:val="15"/>
                <w:lang w:val="en-US" w:eastAsia="zh-CN"/>
              </w:rPr>
              <w:t xml:space="preserve">33.30 </w:t>
            </w:r>
          </w:p>
        </w:tc>
      </w:tr>
    </w:tbl>
    <w:p>
      <w:pPr>
        <w:pStyle w:val="98"/>
        <w:rPr>
          <w:rFonts w:hint="eastAsia" w:cs="宋体" w:asciiTheme="minorEastAsia" w:hAnsiTheme="minorEastAsia" w:eastAsiaTheme="minorEastAsia"/>
          <w:sz w:val="21"/>
          <w:szCs w:val="21"/>
        </w:rPr>
      </w:pPr>
    </w:p>
    <w:p>
      <w:pPr>
        <w:pStyle w:val="98"/>
        <w:ind w:left="0" w:leftChars="0" w:firstLine="0" w:firstLineChars="0"/>
        <w:rPr>
          <w:rFonts w:cs="宋体" w:asciiTheme="minorEastAsia" w:hAnsiTheme="minorEastAsia" w:eastAsiaTheme="minorEastAsia"/>
          <w:sz w:val="21"/>
          <w:szCs w:val="21"/>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space="425" w:num="1"/>
          <w:docGrid w:type="lines" w:linePitch="312" w:charSpace="0"/>
        </w:sectPr>
      </w:pPr>
    </w:p>
    <w:p>
      <w:pPr>
        <w:rPr>
          <w:rFonts w:cs="宋体" w:asciiTheme="minorEastAsia" w:hAnsiTheme="minorEastAsia" w:eastAsiaTheme="minorEastAsia"/>
          <w:sz w:val="21"/>
          <w:szCs w:val="21"/>
        </w:rPr>
      </w:pPr>
    </w:p>
    <w:p>
      <w:pPr>
        <w:ind w:firstLine="419"/>
        <w:rPr>
          <w:rFonts w:cs="宋体" w:asciiTheme="minorEastAsia" w:hAnsiTheme="minorEastAsia" w:eastAsiaTheme="minorEastAsia"/>
          <w:sz w:val="21"/>
          <w:szCs w:val="21"/>
        </w:rPr>
      </w:pPr>
    </w:p>
    <w:p>
      <w:pPr>
        <w:pStyle w:val="98"/>
        <w:jc w:val="center"/>
        <w:rPr>
          <w:rFonts w:hint="eastAsia" w:ascii="黑体" w:hAnsi="黑体" w:eastAsia="黑体" w:cs="黑体"/>
          <w:sz w:val="18"/>
          <w:szCs w:val="18"/>
          <w:lang w:val="en-US" w:eastAsia="zh-CN"/>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space="425" w:num="1"/>
          <w:docGrid w:type="lines" w:linePitch="312" w:charSpace="0"/>
        </w:sectPr>
      </w:pPr>
    </w:p>
    <w:p>
      <w:pPr>
        <w:pStyle w:val="98"/>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表4 Product1M上的COPE检索结果</w:t>
      </w:r>
    </w:p>
    <w:tbl>
      <w:tblPr>
        <w:tblStyle w:val="26"/>
        <w:tblW w:w="0" w:type="auto"/>
        <w:jc w:val="center"/>
        <w:tblBorders>
          <w:top w:val="single" w:color="auto" w:sz="12" w:space="0"/>
          <w:left w:val="dotted" w:color="auto" w:sz="4" w:space="0"/>
          <w:bottom w:val="single" w:color="auto" w:sz="12" w:space="0"/>
          <w:right w:val="dotted" w:color="auto" w:sz="4" w:space="0"/>
          <w:insideH w:val="single" w:color="auto" w:sz="4" w:space="0"/>
          <w:insideV w:val="dotted" w:color="auto" w:sz="4" w:space="0"/>
        </w:tblBorders>
        <w:tblLayout w:type="autofit"/>
        <w:tblCellMar>
          <w:top w:w="0" w:type="dxa"/>
          <w:left w:w="10" w:type="dxa"/>
          <w:bottom w:w="0" w:type="dxa"/>
          <w:right w:w="10" w:type="dxa"/>
        </w:tblCellMar>
      </w:tblPr>
      <w:tblGrid>
        <w:gridCol w:w="1093"/>
        <w:gridCol w:w="877"/>
        <w:gridCol w:w="877"/>
        <w:gridCol w:w="952"/>
        <w:gridCol w:w="894"/>
        <w:gridCol w:w="894"/>
        <w:gridCol w:w="969"/>
        <w:gridCol w:w="835"/>
        <w:gridCol w:w="835"/>
        <w:gridCol w:w="910"/>
      </w:tblGrid>
      <w:tr>
        <w:tblPrEx>
          <w:tblBorders>
            <w:top w:val="single" w:color="auto" w:sz="12" w:space="0"/>
            <w:left w:val="dotted" w:color="auto" w:sz="4" w:space="0"/>
            <w:bottom w:val="single" w:color="auto" w:sz="12" w:space="0"/>
            <w:right w:val="dotted" w:color="auto" w:sz="4" w:space="0"/>
            <w:insideH w:val="single" w:color="auto" w:sz="4" w:space="0"/>
            <w:insideV w:val="dotted" w:color="auto" w:sz="4" w:space="0"/>
          </w:tblBorders>
          <w:tblCellMar>
            <w:top w:w="0" w:type="dxa"/>
            <w:left w:w="10" w:type="dxa"/>
            <w:bottom w:w="0" w:type="dxa"/>
            <w:right w:w="10" w:type="dxa"/>
          </w:tblCellMar>
        </w:tblPrEx>
        <w:trPr>
          <w:trHeight w:val="352" w:hRule="exact"/>
          <w:jc w:val="center"/>
        </w:trPr>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model</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mAP@10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mAP@50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mAP@100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mAR@10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mAR@50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mAR@100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Prec@10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Prec@50</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Prec@100</w:t>
            </w:r>
          </w:p>
        </w:tc>
      </w:tr>
      <w:tr>
        <w:tblPrEx>
          <w:tblBorders>
            <w:top w:val="single" w:color="auto" w:sz="12" w:space="0"/>
            <w:left w:val="dotted" w:color="auto" w:sz="4" w:space="0"/>
            <w:bottom w:val="single" w:color="auto" w:sz="12" w:space="0"/>
            <w:right w:val="dotted" w:color="auto" w:sz="4" w:space="0"/>
            <w:insideH w:val="single" w:color="auto" w:sz="4" w:space="0"/>
            <w:insideV w:val="dotted" w:color="auto" w:sz="4" w:space="0"/>
          </w:tblBorders>
          <w:tblCellMar>
            <w:top w:w="0" w:type="dxa"/>
            <w:left w:w="10" w:type="dxa"/>
            <w:bottom w:w="0" w:type="dxa"/>
            <w:right w:w="10" w:type="dxa"/>
          </w:tblCellMar>
        </w:tblPrEx>
        <w:trPr>
          <w:trHeight w:val="271" w:hRule="exact"/>
          <w:jc w:val="center"/>
        </w:trPr>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SOTA</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79.36</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74.79</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74.63</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34.69</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30.04</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30.08</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73.97</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72.12</w:t>
            </w:r>
          </w:p>
        </w:tc>
        <w:tc>
          <w:tcPr>
            <w:tcW w:w="0" w:type="auto"/>
            <w:tcBorders>
              <w:tl2br w:val="nil"/>
              <w:tr2bl w:val="nil"/>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73.86</w:t>
            </w:r>
          </w:p>
        </w:tc>
      </w:tr>
      <w:tr>
        <w:tblPrEx>
          <w:tblBorders>
            <w:top w:val="single" w:color="auto" w:sz="12" w:space="0"/>
            <w:left w:val="dotted" w:color="auto" w:sz="4" w:space="0"/>
            <w:bottom w:val="single" w:color="auto" w:sz="12" w:space="0"/>
            <w:right w:val="dotted" w:color="auto" w:sz="4" w:space="0"/>
            <w:insideH w:val="single" w:color="auto" w:sz="4" w:space="0"/>
            <w:insideV w:val="dotted" w:color="auto" w:sz="4" w:space="0"/>
          </w:tblBorders>
          <w:tblCellMar>
            <w:top w:w="0" w:type="dxa"/>
            <w:left w:w="10" w:type="dxa"/>
            <w:bottom w:w="0" w:type="dxa"/>
            <w:right w:w="10" w:type="dxa"/>
          </w:tblCellMar>
        </w:tblPrEx>
        <w:trPr>
          <w:trHeight w:val="344" w:hRule="exact"/>
          <w:jc w:val="center"/>
        </w:trPr>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COPE (Ours)</w:t>
            </w:r>
          </w:p>
        </w:tc>
        <w:tc>
          <w:tcPr>
            <w:tcW w:w="0" w:type="auto"/>
            <w:tcBorders>
              <w:tl2br w:val="nil"/>
              <w:tr2bl w:val="nil"/>
            </w:tcBorders>
            <w:shd w:val="clear" w:color="auto" w:fill="FFFFFF"/>
            <w:vAlign w:val="center"/>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86.02</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80.51</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77.35</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53.53</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57.03</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58.03</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80.30</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72.39</w:t>
            </w:r>
          </w:p>
        </w:tc>
        <w:tc>
          <w:tcPr>
            <w:tcW w:w="0" w:type="auto"/>
            <w:tcBorders>
              <w:tl2br w:val="nil"/>
              <w:tr2bl w:val="nil"/>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66.58</w:t>
            </w:r>
          </w:p>
        </w:tc>
      </w:tr>
    </w:tbl>
    <w:p>
      <w:pPr>
        <w:ind w:firstLine="419"/>
        <w:rPr>
          <w:rFonts w:cs="宋体" w:asciiTheme="minorEastAsia" w:hAnsiTheme="minorEastAsia" w:eastAsiaTheme="minorEastAsia"/>
          <w:sz w:val="21"/>
          <w:szCs w:val="21"/>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space="425" w:num="1"/>
          <w:docGrid w:type="lines" w:linePitch="312" w:charSpace="0"/>
        </w:sectPr>
      </w:pPr>
    </w:p>
    <w:p/>
    <w:p/>
    <w:p>
      <w:pPr>
        <w:pStyle w:val="98"/>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表5 COPE在m5产品上的检索结果</w:t>
      </w:r>
    </w:p>
    <w:tbl>
      <w:tblPr>
        <w:tblStyle w:val="26"/>
        <w:tblW w:w="4997" w:type="pct"/>
        <w:jc w:val="center"/>
        <w:tblLayout w:type="autofit"/>
        <w:tblCellMar>
          <w:top w:w="0" w:type="dxa"/>
          <w:left w:w="10" w:type="dxa"/>
          <w:bottom w:w="0" w:type="dxa"/>
          <w:right w:w="10" w:type="dxa"/>
        </w:tblCellMar>
      </w:tblPr>
      <w:tblGrid>
        <w:gridCol w:w="1206"/>
        <w:gridCol w:w="859"/>
        <w:gridCol w:w="884"/>
        <w:gridCol w:w="815"/>
        <w:gridCol w:w="859"/>
      </w:tblGrid>
      <w:tr>
        <w:tblPrEx>
          <w:tblCellMar>
            <w:top w:w="0" w:type="dxa"/>
            <w:left w:w="10" w:type="dxa"/>
            <w:bottom w:w="0" w:type="dxa"/>
            <w:right w:w="10" w:type="dxa"/>
          </w:tblCellMar>
        </w:tblPrEx>
        <w:trPr>
          <w:trHeight w:val="390" w:hRule="exact"/>
          <w:jc w:val="center"/>
        </w:trPr>
        <w:tc>
          <w:tcPr>
            <w:tcW w:w="1304" w:type="pct"/>
            <w:tcBorders>
              <w:top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0" w:right="0" w:firstLine="0"/>
              <w:jc w:val="center"/>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模型</w:t>
            </w:r>
          </w:p>
        </w:tc>
        <w:tc>
          <w:tcPr>
            <w:tcW w:w="928" w:type="pct"/>
            <w:tcBorders>
              <w:top w:val="single" w:color="auto" w:sz="4" w:space="0"/>
              <w:left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1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mAP@l</w:t>
            </w:r>
          </w:p>
        </w:tc>
        <w:tc>
          <w:tcPr>
            <w:tcW w:w="956" w:type="pct"/>
            <w:tcBorders>
              <w:top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1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mAP@5</w:t>
            </w:r>
          </w:p>
        </w:tc>
        <w:tc>
          <w:tcPr>
            <w:tcW w:w="881" w:type="pct"/>
            <w:tcBorders>
              <w:top w:val="single" w:color="auto" w:sz="4" w:space="0"/>
              <w:left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1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Prec@l</w:t>
            </w:r>
          </w:p>
        </w:tc>
        <w:tc>
          <w:tcPr>
            <w:tcW w:w="928" w:type="pct"/>
            <w:tcBorders>
              <w:top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1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Prec@5</w:t>
            </w:r>
          </w:p>
        </w:tc>
      </w:tr>
      <w:tr>
        <w:tblPrEx>
          <w:tblCellMar>
            <w:top w:w="0" w:type="dxa"/>
            <w:left w:w="10" w:type="dxa"/>
            <w:bottom w:w="0" w:type="dxa"/>
            <w:right w:w="10" w:type="dxa"/>
          </w:tblCellMar>
        </w:tblPrEx>
        <w:trPr>
          <w:trHeight w:val="310" w:hRule="exact"/>
          <w:jc w:val="center"/>
        </w:trPr>
        <w:tc>
          <w:tcPr>
            <w:tcW w:w="1304" w:type="pct"/>
            <w:tcBorders>
              <w:top w:val="single" w:color="auto" w:sz="4" w:space="0"/>
            </w:tcBorders>
            <w:shd w:val="clear" w:color="auto" w:fill="FFFFFF"/>
            <w:vAlign w:val="center"/>
          </w:tcPr>
          <w:p>
            <w:pPr>
              <w:pStyle w:val="101"/>
              <w:keepNext w:val="0"/>
              <w:keepLines w:val="0"/>
              <w:widowControl w:val="0"/>
              <w:shd w:val="clear" w:color="auto" w:fill="auto"/>
              <w:bidi w:val="0"/>
              <w:spacing w:before="0" w:after="0" w:line="210" w:lineRule="exact"/>
              <w:ind w:left="20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SOTA(I+T)</w:t>
            </w:r>
          </w:p>
        </w:tc>
        <w:tc>
          <w:tcPr>
            <w:tcW w:w="928" w:type="pct"/>
            <w:tcBorders>
              <w:top w:val="single" w:color="auto" w:sz="4" w:space="0"/>
              <w:left w:val="single" w:color="auto" w:sz="4" w:space="0"/>
            </w:tcBorders>
            <w:shd w:val="clear" w:color="auto" w:fill="FFFFFF"/>
            <w:vAlign w:val="bottom"/>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62.20</w:t>
            </w:r>
          </w:p>
        </w:tc>
        <w:tc>
          <w:tcPr>
            <w:tcW w:w="956" w:type="pct"/>
            <w:tcBorders>
              <w:top w:val="single" w:color="auto" w:sz="4" w:space="0"/>
            </w:tcBorders>
            <w:shd w:val="clear" w:color="auto" w:fill="FFFFFF"/>
            <w:vAlign w:val="center"/>
          </w:tcPr>
          <w:p>
            <w:pPr>
              <w:pStyle w:val="101"/>
              <w:keepNext w:val="0"/>
              <w:keepLines w:val="0"/>
              <w:widowControl w:val="0"/>
              <w:shd w:val="clear" w:color="auto" w:fill="auto"/>
              <w:bidi w:val="0"/>
              <w:spacing w:before="0" w:after="0" w:line="210" w:lineRule="exact"/>
              <w:ind w:left="28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66.97</w:t>
            </w:r>
          </w:p>
        </w:tc>
        <w:tc>
          <w:tcPr>
            <w:tcW w:w="881" w:type="pct"/>
            <w:tcBorders>
              <w:top w:val="single" w:color="auto" w:sz="4" w:space="0"/>
              <w:left w:val="single" w:color="auto" w:sz="4" w:space="0"/>
            </w:tcBorders>
            <w:shd w:val="clear" w:color="auto" w:fill="FFFFFF"/>
            <w:vAlign w:val="bottom"/>
          </w:tcPr>
          <w:p>
            <w:pPr>
              <w:pStyle w:val="101"/>
              <w:keepNext w:val="0"/>
              <w:keepLines w:val="0"/>
              <w:widowControl w:val="0"/>
              <w:shd w:val="clear" w:color="auto" w:fill="auto"/>
              <w:bidi w:val="0"/>
              <w:spacing w:before="0" w:after="0" w:line="210" w:lineRule="exact"/>
              <w:ind w:left="2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62.20</w:t>
            </w:r>
          </w:p>
        </w:tc>
        <w:tc>
          <w:tcPr>
            <w:tcW w:w="928" w:type="pct"/>
            <w:tcBorders>
              <w:top w:val="single" w:color="auto" w:sz="4" w:space="0"/>
            </w:tcBorders>
            <w:shd w:val="clear" w:color="auto" w:fill="FFFFFF"/>
            <w:vAlign w:val="center"/>
          </w:tcPr>
          <w:p>
            <w:pPr>
              <w:pStyle w:val="101"/>
              <w:keepNext w:val="0"/>
              <w:keepLines w:val="0"/>
              <w:widowControl w:val="0"/>
              <w:shd w:val="clear" w:color="auto" w:fill="auto"/>
              <w:bidi w:val="0"/>
              <w:spacing w:before="0" w:after="0" w:line="210" w:lineRule="exact"/>
              <w:ind w:left="2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49.85</w:t>
            </w:r>
          </w:p>
        </w:tc>
      </w:tr>
      <w:tr>
        <w:tblPrEx>
          <w:tblCellMar>
            <w:top w:w="0" w:type="dxa"/>
            <w:left w:w="10" w:type="dxa"/>
            <w:bottom w:w="0" w:type="dxa"/>
            <w:right w:w="10" w:type="dxa"/>
          </w:tblCellMar>
        </w:tblPrEx>
        <w:trPr>
          <w:trHeight w:val="260" w:hRule="exact"/>
          <w:jc w:val="center"/>
        </w:trPr>
        <w:tc>
          <w:tcPr>
            <w:tcW w:w="1304" w:type="pct"/>
            <w:shd w:val="clear" w:color="auto" w:fill="FFFFFF"/>
            <w:vAlign w:val="top"/>
          </w:tcPr>
          <w:p>
            <w:pPr>
              <w:pStyle w:val="101"/>
              <w:keepNext w:val="0"/>
              <w:keepLines w:val="0"/>
              <w:widowControl w:val="0"/>
              <w:shd w:val="clear" w:color="auto" w:fill="auto"/>
              <w:bidi w:val="0"/>
              <w:spacing w:before="0" w:after="0" w:line="210" w:lineRule="exact"/>
              <w:ind w:left="20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SOTA(ALL)</w:t>
            </w:r>
          </w:p>
        </w:tc>
        <w:tc>
          <w:tcPr>
            <w:tcW w:w="928" w:type="pct"/>
            <w:tcBorders>
              <w:left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69.25</w:t>
            </w:r>
          </w:p>
        </w:tc>
        <w:tc>
          <w:tcPr>
            <w:tcW w:w="956" w:type="pct"/>
            <w:shd w:val="clear" w:color="auto" w:fill="FFFFFF"/>
            <w:vAlign w:val="top"/>
          </w:tcPr>
          <w:p>
            <w:pPr>
              <w:pStyle w:val="101"/>
              <w:keepNext w:val="0"/>
              <w:keepLines w:val="0"/>
              <w:widowControl w:val="0"/>
              <w:shd w:val="clear" w:color="auto" w:fill="auto"/>
              <w:bidi w:val="0"/>
              <w:spacing w:before="0" w:after="0" w:line="210" w:lineRule="exact"/>
              <w:ind w:left="28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74.08</w:t>
            </w:r>
          </w:p>
        </w:tc>
        <w:tc>
          <w:tcPr>
            <w:tcW w:w="881" w:type="pct"/>
            <w:tcBorders>
              <w:left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69.25</w:t>
            </w:r>
          </w:p>
        </w:tc>
        <w:tc>
          <w:tcPr>
            <w:tcW w:w="928" w:type="pct"/>
            <w:shd w:val="clear" w:color="auto" w:fill="FFFFFF"/>
            <w:vAlign w:val="top"/>
          </w:tcPr>
          <w:p>
            <w:pPr>
              <w:pStyle w:val="101"/>
              <w:keepNext w:val="0"/>
              <w:keepLines w:val="0"/>
              <w:widowControl w:val="0"/>
              <w:shd w:val="clear" w:color="auto" w:fill="auto"/>
              <w:bidi w:val="0"/>
              <w:spacing w:before="0" w:after="0" w:line="210" w:lineRule="exact"/>
              <w:ind w:left="2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58.76</w:t>
            </w:r>
          </w:p>
        </w:tc>
      </w:tr>
      <w:tr>
        <w:tblPrEx>
          <w:tblCellMar>
            <w:top w:w="0" w:type="dxa"/>
            <w:left w:w="10" w:type="dxa"/>
            <w:bottom w:w="0" w:type="dxa"/>
            <w:right w:w="10" w:type="dxa"/>
          </w:tblCellMar>
        </w:tblPrEx>
        <w:trPr>
          <w:trHeight w:val="280" w:hRule="exact"/>
          <w:jc w:val="center"/>
        </w:trPr>
        <w:tc>
          <w:tcPr>
            <w:tcW w:w="1304" w:type="pct"/>
            <w:tcBorders>
              <w:bottom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0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COPE(Ours)</w:t>
            </w:r>
          </w:p>
        </w:tc>
        <w:tc>
          <w:tcPr>
            <w:tcW w:w="928" w:type="pct"/>
            <w:tcBorders>
              <w:left w:val="single" w:color="auto" w:sz="4" w:space="0"/>
              <w:bottom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6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80.89</w:t>
            </w:r>
          </w:p>
        </w:tc>
        <w:tc>
          <w:tcPr>
            <w:tcW w:w="956" w:type="pct"/>
            <w:tcBorders>
              <w:bottom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8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83.66</w:t>
            </w:r>
          </w:p>
        </w:tc>
        <w:tc>
          <w:tcPr>
            <w:tcW w:w="881" w:type="pct"/>
            <w:tcBorders>
              <w:left w:val="single" w:color="auto" w:sz="4" w:space="0"/>
              <w:bottom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80.89</w:t>
            </w:r>
          </w:p>
        </w:tc>
        <w:tc>
          <w:tcPr>
            <w:tcW w:w="928" w:type="pct"/>
            <w:tcBorders>
              <w:bottom w:val="single" w:color="auto" w:sz="4" w:space="0"/>
            </w:tcBorders>
            <w:shd w:val="clear" w:color="auto" w:fill="FFFFFF"/>
            <w:vAlign w:val="top"/>
          </w:tcPr>
          <w:p>
            <w:pPr>
              <w:pStyle w:val="101"/>
              <w:keepNext w:val="0"/>
              <w:keepLines w:val="0"/>
              <w:widowControl w:val="0"/>
              <w:shd w:val="clear" w:color="auto" w:fill="auto"/>
              <w:bidi w:val="0"/>
              <w:spacing w:before="0" w:after="0" w:line="210" w:lineRule="exact"/>
              <w:ind w:left="240" w:right="0" w:firstLine="0"/>
              <w:jc w:val="left"/>
              <w:rPr>
                <w:rFonts w:hint="eastAsia" w:ascii="Times New Roman" w:hAnsi="Times New Roman" w:eastAsia="宋体" w:cs="Times New Roman"/>
                <w:kern w:val="2"/>
                <w:sz w:val="15"/>
                <w:szCs w:val="15"/>
                <w:u w:val="none"/>
                <w:lang w:val="en-US" w:eastAsia="zh-CN" w:bidi="ar-SA"/>
              </w:rPr>
            </w:pPr>
            <w:r>
              <w:rPr>
                <w:rFonts w:hint="eastAsia" w:ascii="Times New Roman" w:hAnsi="Times New Roman" w:eastAsia="宋体" w:cs="Times New Roman"/>
                <w:kern w:val="2"/>
                <w:sz w:val="15"/>
                <w:szCs w:val="15"/>
                <w:u w:val="none"/>
                <w:lang w:val="en-US" w:eastAsia="zh-CN" w:bidi="ar-SA"/>
              </w:rPr>
              <w:t>75.96</w:t>
            </w:r>
          </w:p>
        </w:tc>
      </w:tr>
    </w:tbl>
    <w:p>
      <w:pPr>
        <w:pStyle w:val="98"/>
        <w:rPr>
          <w:rFonts w:hint="eastAsia" w:cs="宋体" w:asciiTheme="minorEastAsia" w:hAnsiTheme="minorEastAsia" w:eastAsiaTheme="minorEastAsia"/>
          <w:sz w:val="21"/>
          <w:szCs w:val="21"/>
        </w:rPr>
      </w:pPr>
    </w:p>
    <w:p/>
    <w:p>
      <w:pPr>
        <w:ind w:firstLine="419"/>
        <w:rPr>
          <w:rFonts w:cs="宋体" w:asciiTheme="minorEastAsia" w:hAnsiTheme="minorEastAsia" w:eastAsiaTheme="minorEastAsia"/>
          <w:sz w:val="21"/>
          <w:szCs w:val="21"/>
        </w:rPr>
      </w:pPr>
    </w:p>
    <w:p>
      <w:pPr>
        <w:ind w:firstLine="419"/>
        <w:rPr>
          <w:rFonts w:cs="宋体" w:asciiTheme="minorEastAsia" w:hAnsiTheme="minorEastAsia" w:eastAsiaTheme="minorEastAsia"/>
          <w:sz w:val="21"/>
          <w:szCs w:val="21"/>
        </w:rPr>
      </w:pPr>
      <w:r>
        <w:rPr>
          <w:rFonts w:cs="宋体" w:asciiTheme="minorEastAsia" w:hAnsiTheme="minorEastAsia" w:eastAsiaTheme="minorEastAsia"/>
          <w:sz w:val="21"/>
          <w:szCs w:val="21"/>
        </w:rPr>
        <w:drawing>
          <wp:inline distT="0" distB="0" distL="0" distR="0">
            <wp:extent cx="2830830" cy="1921510"/>
            <wp:effectExtent l="0" t="0" r="7620" b="2540"/>
            <wp:docPr id="8084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9774" name="图片 1"/>
                    <pic:cNvPicPr>
                      <a:picLocks noChangeAspect="1"/>
                    </pic:cNvPicPr>
                  </pic:nvPicPr>
                  <pic:blipFill>
                    <a:blip r:embed="rId11"/>
                    <a:stretch>
                      <a:fillRect/>
                    </a:stretch>
                  </pic:blipFill>
                  <pic:spPr>
                    <a:xfrm>
                      <a:off x="0" y="0"/>
                      <a:ext cx="2830830" cy="1921510"/>
                    </a:xfrm>
                    <a:prstGeom prst="rect">
                      <a:avLst/>
                    </a:prstGeom>
                  </pic:spPr>
                </pic:pic>
              </a:graphicData>
            </a:graphic>
          </wp:inline>
        </w:drawing>
      </w:r>
    </w:p>
    <w:p>
      <w:pPr>
        <w:pStyle w:val="12"/>
        <w:ind w:firstLine="419"/>
        <w:rPr>
          <w:rFonts w:hint="eastAsia" w:eastAsia="黑体" w:cs="宋体" w:asciiTheme="minorEastAsia" w:hAnsiTheme="minorEastAsia"/>
          <w:sz w:val="21"/>
          <w:szCs w:val="21"/>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4</w:t>
      </w:r>
      <w:r>
        <w:rPr>
          <w:rFonts w:hint="eastAsia" w:ascii="宋体" w:hAnsi="宋体" w:eastAsia="宋体" w:cs="宋体"/>
          <w:sz w:val="18"/>
          <w:szCs w:val="18"/>
        </w:rPr>
        <w:fldChar w:fldCharType="end"/>
      </w:r>
      <w:r>
        <w:rPr>
          <w:rFonts w:hint="eastAsia" w:ascii="宋体" w:hAnsi="宋体" w:eastAsia="宋体" w:cs="宋体"/>
          <w:sz w:val="18"/>
          <w:szCs w:val="18"/>
          <w:lang w:val="en-US" w:eastAsia="zh-CN"/>
        </w:rPr>
        <w:t xml:space="preserve">  COPE嵌入的t-SNE可视化。同一产品的点颜色相同。</w:t>
      </w:r>
    </w:p>
    <w:p>
      <w:pPr>
        <w:jc w:val="center"/>
        <w:rPr>
          <w:rFonts w:hint="eastAsia" w:cs="宋体" w:asciiTheme="minorEastAsia" w:hAnsiTheme="minorEastAsia" w:eastAsiaTheme="minorEastAsia"/>
          <w:sz w:val="18"/>
          <w:szCs w:val="18"/>
          <w:lang w:val="en-US" w:eastAsia="zh-CN"/>
        </w:rPr>
      </w:pPr>
      <w:r>
        <w:rPr>
          <w:rFonts w:hint="eastAsia" w:ascii="黑体" w:hAnsi="黑体" w:eastAsia="黑体" w:cs="黑体"/>
          <w:sz w:val="18"/>
          <w:szCs w:val="18"/>
        </w:rPr>
        <w:t>表6</w:t>
      </w:r>
      <w:r>
        <w:rPr>
          <w:rFonts w:hint="eastAsia" w:ascii="黑体" w:hAnsi="黑体" w:eastAsia="黑体" w:cs="黑体"/>
          <w:sz w:val="18"/>
          <w:szCs w:val="18"/>
          <w:lang w:val="en-US" w:eastAsia="zh-CN"/>
        </w:rPr>
        <w:t xml:space="preserve"> </w:t>
      </w:r>
      <w:r>
        <w:rPr>
          <w:rFonts w:hint="eastAsia" w:ascii="黑体" w:hAnsi="黑体" w:eastAsia="黑体" w:cs="黑体"/>
          <w:i w:val="0"/>
          <w:iCs w:val="0"/>
          <w:caps w:val="0"/>
          <w:color w:val="000000"/>
          <w:spacing w:val="10"/>
          <w:sz w:val="18"/>
          <w:szCs w:val="18"/>
        </w:rPr>
        <w:t>分类损失显著提高了所有任务的性能。</w:t>
      </w:r>
    </w:p>
    <w:tbl>
      <w:tblPr>
        <w:tblStyle w:val="26"/>
        <w:tblW w:w="498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91"/>
        <w:gridCol w:w="667"/>
        <w:gridCol w:w="730"/>
        <w:gridCol w:w="730"/>
        <w:gridCol w:w="730"/>
        <w:gridCol w:w="730"/>
        <w:gridCol w:w="7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4" w:hRule="atLeast"/>
        </w:trPr>
        <w:tc>
          <w:tcPr>
            <w:tcW w:w="510"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任务</w:t>
            </w:r>
          </w:p>
        </w:tc>
        <w:tc>
          <w:tcPr>
            <w:tcW w:w="694"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loss</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R@1</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R@5</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R@10</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R@20</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R @50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 w:hRule="atLeast"/>
        </w:trPr>
        <w:tc>
          <w:tcPr>
            <w:tcW w:w="51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P2V</w:t>
            </w:r>
          </w:p>
        </w:tc>
        <w:tc>
          <w:tcPr>
            <w:tcW w:w="694"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Style w:val="100"/>
              <w:rPr>
                <w:rFonts w:hint="eastAsia" w:ascii="Times New Roman" w:hAnsi="Times New Roman" w:cs="Times New Roman"/>
                <w:sz w:val="15"/>
                <w:szCs w:val="15"/>
                <w:lang w:val="en-US" w:eastAsia="zh-CN"/>
              </w:rPr>
            </w:pPr>
            <m:oMathPara>
              <m:oMath>
                <m:m>
                  <m:mPr>
                    <m:mcs>
                      <m:mc>
                        <m:mcPr>
                          <m:count m:val="1"/>
                          <m:mcJc m:val="right"/>
                        </m:mcPr>
                      </m:mc>
                    </m:mcs>
                    <m:plcHide m:val="1"/>
                    <m:ctrlPr>
                      <w:rPr>
                        <w:sz w:val="15"/>
                      </w:rPr>
                    </m:ctrlPr>
                  </m:mPr>
                  <m:mr>
                    <m:e>
                      <m:r>
                        <m:rPr>
                          <m:sty m:val="p"/>
                        </m:rPr>
                        <w:rPr>
                          <w:sz w:val="15"/>
                        </w:rPr>
                        <m:t>w/o 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r>
                    <m:e>
                      <m:r>
                        <m:rPr>
                          <m:sty m:val="p"/>
                        </m:rPr>
                        <w:rPr>
                          <w:sz w:val="15"/>
                        </w:rPr>
                        <m:t>w 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
              </m:oMath>
            </m:oMathPara>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51.88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76.45</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84.58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90.58</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95.50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 w:hRule="atLeast"/>
        </w:trPr>
        <w:tc>
          <w:tcPr>
            <w:tcW w:w="51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6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82.58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94.88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97.54</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98.89</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0" w:hRule="atLeast"/>
        </w:trPr>
        <w:tc>
          <w:tcPr>
            <w:tcW w:w="51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V2P</w:t>
            </w:r>
          </w:p>
        </w:tc>
        <w:tc>
          <w:tcPr>
            <w:tcW w:w="694" w:type="pct"/>
            <w:vMerge w:val="restart"/>
            <w:tcBorders>
              <w:top w:val="single" w:color="000000" w:sz="4" w:space="0"/>
              <w:left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m:oMathPara>
              <m:oMath>
                <m:m>
                  <m:mPr>
                    <m:mcs>
                      <m:mc>
                        <m:mcPr>
                          <m:count m:val="1"/>
                          <m:mcJc m:val="right"/>
                        </m:mcPr>
                      </m:mc>
                    </m:mcs>
                    <m:plcHide m:val="1"/>
                    <m:ctrlPr>
                      <w:rPr>
                        <w:sz w:val="15"/>
                      </w:rPr>
                    </m:ctrlPr>
                  </m:mPr>
                  <m:mr>
                    <m:e>
                      <m:r>
                        <m:rPr>
                          <m:sty m:val="p"/>
                        </m:rPr>
                        <w:rPr>
                          <w:sz w:val="15"/>
                        </w:rPr>
                        <m:t>w/o 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r>
                    <m:e>
                      <m:r>
                        <m:rPr>
                          <m:sty m:val="p"/>
                        </m:rPr>
                        <w:rPr>
                          <w:sz w:val="15"/>
                        </w:rPr>
                        <m:t>w 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
              </m:oMath>
            </m:oMathPara>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44.17</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60.01</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68.24</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75.86</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84.29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 w:hRule="atLeast"/>
        </w:trPr>
        <w:tc>
          <w:tcPr>
            <w:tcW w:w="51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694" w:type="pct"/>
            <w:vMerge w:val="continue"/>
            <w:tcBorders>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65.2</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76.56</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82.04</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86.86</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91.69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3" w:hRule="atLeast"/>
        </w:trPr>
        <w:tc>
          <w:tcPr>
            <w:tcW w:w="51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P2L</w:t>
            </w:r>
          </w:p>
        </w:tc>
        <w:tc>
          <w:tcPr>
            <w:tcW w:w="694" w:type="pct"/>
            <w:vMerge w:val="restart"/>
            <w:tcBorders>
              <w:top w:val="single" w:color="000000" w:sz="4" w:space="0"/>
              <w:left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m:oMathPara>
              <m:oMath>
                <m:m>
                  <m:mPr>
                    <m:mcs>
                      <m:mc>
                        <m:mcPr>
                          <m:count m:val="1"/>
                          <m:mcJc m:val="right"/>
                        </m:mcPr>
                      </m:mc>
                    </m:mcs>
                    <m:plcHide m:val="1"/>
                    <m:ctrlPr>
                      <w:rPr>
                        <w:sz w:val="15"/>
                      </w:rPr>
                    </m:ctrlPr>
                  </m:mPr>
                  <m:mr>
                    <m:e>
                      <m:r>
                        <m:rPr>
                          <m:sty m:val="p"/>
                        </m:rPr>
                        <w:rPr>
                          <w:sz w:val="15"/>
                        </w:rPr>
                        <m:t>w/o 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r>
                    <m:e>
                      <m:r>
                        <m:rPr>
                          <m:sty m:val="p"/>
                        </m:rPr>
                        <w:rPr>
                          <w:sz w:val="15"/>
                        </w:rPr>
                        <m:t>w 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
              </m:oMath>
            </m:oMathPara>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26.41</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44.76</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53.25</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62.72</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75.26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3" w:hRule="atLeast"/>
        </w:trPr>
        <w:tc>
          <w:tcPr>
            <w:tcW w:w="51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694" w:type="pct"/>
            <w:vMerge w:val="continue"/>
            <w:tcBorders>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54.06</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71.07</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77.14</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82.86</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89.70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3" w:hRule="atLeast"/>
        </w:trPr>
        <w:tc>
          <w:tcPr>
            <w:tcW w:w="51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L2P</w:t>
            </w:r>
          </w:p>
        </w:tc>
        <w:tc>
          <w:tcPr>
            <w:tcW w:w="694" w:type="pct"/>
            <w:vMerge w:val="restart"/>
            <w:tcBorders>
              <w:top w:val="single" w:color="000000" w:sz="4" w:space="0"/>
              <w:left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m:oMathPara>
              <m:oMath>
                <m:m>
                  <m:mPr>
                    <m:mcs>
                      <m:mc>
                        <m:mcPr>
                          <m:count m:val="1"/>
                          <m:mcJc m:val="right"/>
                        </m:mcPr>
                      </m:mc>
                    </m:mcs>
                    <m:plcHide m:val="1"/>
                    <m:ctrlPr>
                      <w:rPr>
                        <w:sz w:val="15"/>
                      </w:rPr>
                    </m:ctrlPr>
                  </m:mPr>
                  <m:mr>
                    <m:e>
                      <m:r>
                        <m:rPr>
                          <m:sty m:val="p"/>
                        </m:rPr>
                        <w:rPr>
                          <w:sz w:val="15"/>
                        </w:rPr>
                        <m:t>w/o 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r>
                    <m:e>
                      <m:r>
                        <m:rPr>
                          <m:sty m:val="p"/>
                        </m:rPr>
                        <w:rPr>
                          <w:sz w:val="15"/>
                        </w:rPr>
                        <m:t>w 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
              </m:oMath>
            </m:oMathPara>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23.11</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38.28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47.97</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57.88</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3" w:hRule="atLeast"/>
        </w:trPr>
        <w:tc>
          <w:tcPr>
            <w:tcW w:w="51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694" w:type="pct"/>
            <w:vMerge w:val="continue"/>
            <w:tcBorders>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42.33</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56.48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63.67</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71.11</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3" w:hRule="atLeast"/>
        </w:trPr>
        <w:tc>
          <w:tcPr>
            <w:tcW w:w="51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V2L</w:t>
            </w:r>
          </w:p>
        </w:tc>
        <w:tc>
          <w:tcPr>
            <w:tcW w:w="694" w:type="pct"/>
            <w:vMerge w:val="restart"/>
            <w:tcBorders>
              <w:top w:val="single" w:color="000000" w:sz="4" w:space="0"/>
              <w:left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m:oMathPara>
              <m:oMath>
                <m:m>
                  <m:mPr>
                    <m:mcs>
                      <m:mc>
                        <m:mcPr>
                          <m:count m:val="1"/>
                          <m:mcJc m:val="right"/>
                        </m:mcPr>
                      </m:mc>
                    </m:mcs>
                    <m:plcHide m:val="1"/>
                    <m:ctrlPr>
                      <w:rPr>
                        <w:sz w:val="15"/>
                      </w:rPr>
                    </m:ctrlPr>
                  </m:mPr>
                  <m:mr>
                    <m:e>
                      <m:r>
                        <m:rPr>
                          <m:sty m:val="p"/>
                        </m:rPr>
                        <w:rPr>
                          <w:sz w:val="15"/>
                        </w:rPr>
                        <m:t>w/o 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r>
                    <m:e>
                      <m:r>
                        <m:rPr>
                          <m:sty m:val="p"/>
                        </m:rPr>
                        <w:rPr>
                          <w:sz w:val="15"/>
                        </w:rPr>
                        <m:t>w 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
              </m:oMath>
            </m:oMathPara>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29.39</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47.54</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55.88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64.47</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75.81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3" w:hRule="atLeast"/>
        </w:trPr>
        <w:tc>
          <w:tcPr>
            <w:tcW w:w="51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694" w:type="pct"/>
            <w:vMerge w:val="continue"/>
            <w:tcBorders>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45.95</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63.63</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70.64</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77.50</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85.47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3" w:hRule="atLeast"/>
        </w:trPr>
        <w:tc>
          <w:tcPr>
            <w:tcW w:w="51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L2V</w:t>
            </w:r>
          </w:p>
        </w:tc>
        <w:tc>
          <w:tcPr>
            <w:tcW w:w="694" w:type="pct"/>
            <w:vMerge w:val="restart"/>
            <w:tcBorders>
              <w:top w:val="single" w:color="000000" w:sz="4" w:space="0"/>
              <w:left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m:oMathPara>
              <m:oMath>
                <m:m>
                  <m:mPr>
                    <m:mcs>
                      <m:mc>
                        <m:mcPr>
                          <m:count m:val="1"/>
                          <m:mcJc m:val="right"/>
                        </m:mcPr>
                      </m:mc>
                    </m:mcs>
                    <m:plcHide m:val="1"/>
                    <m:ctrlPr>
                      <w:rPr>
                        <w:sz w:val="15"/>
                      </w:rPr>
                    </m:ctrlPr>
                  </m:mPr>
                  <m:mr>
                    <m:e>
                      <m:r>
                        <m:rPr>
                          <m:sty m:val="p"/>
                        </m:rPr>
                        <w:rPr>
                          <w:sz w:val="15"/>
                        </w:rPr>
                        <m:t>w/o 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r>
                    <m:e>
                      <m:r>
                        <m:rPr>
                          <m:sty m:val="p"/>
                        </m:rPr>
                        <w:rPr>
                          <w:sz w:val="15"/>
                        </w:rPr>
                        <m:t>w </m:t>
                      </m:r>
                      <m:sSub>
                        <m:sSubPr>
                          <m:ctrlPr>
                            <w:rPr>
                              <w:sz w:val="15"/>
                            </w:rPr>
                          </m:ctrlPr>
                        </m:sSubPr>
                        <m:e>
                          <m:r>
                            <m:rPr>
                              <m:sty m:val="p"/>
                              <m:scr m:val="script"/>
                            </m:rPr>
                            <w:rPr>
                              <w:sz w:val="15"/>
                            </w:rPr>
                            <m:t>ℒ</m:t>
                          </m:r>
                          <m:ctrlPr>
                            <w:rPr>
                              <w:sz w:val="15"/>
                            </w:rPr>
                          </m:ctrlPr>
                        </m:e>
                        <m:sub>
                          <m:r>
                            <m:rPr/>
                            <w:rPr>
                              <w:sz w:val="15"/>
                            </w:rPr>
                            <m:t>cls</m:t>
                          </m:r>
                          <m:ctrlPr>
                            <w:rPr>
                              <w:sz w:val="15"/>
                            </w:rPr>
                          </m:ctrlPr>
                        </m:sub>
                      </m:sSub>
                      <m:ctrlPr>
                        <w:rPr>
                          <w:sz w:val="15"/>
                        </w:rPr>
                      </m:ctrlPr>
                    </m:e>
                  </m:mr>
                </m:m>
              </m:oMath>
            </m:oMathPara>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 xml:space="preserve">29.50 </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52.07</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 xml:space="preserve">62.60 </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 xml:space="preserve">72.30 </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83.12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7" w:hRule="atLeast"/>
        </w:trPr>
        <w:tc>
          <w:tcPr>
            <w:tcW w:w="51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694" w:type="pct"/>
            <w:vMerge w:val="continue"/>
            <w:tcBorders>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48.28</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 xml:space="preserve">67.20 </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 xml:space="preserve">74.70 </w:t>
            </w:r>
          </w:p>
        </w:tc>
        <w:tc>
          <w:tcPr>
            <w:tcW w:w="758"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81.52</w:t>
            </w:r>
          </w:p>
        </w:tc>
        <w:tc>
          <w:tcPr>
            <w:tcW w:w="761" w:type="pc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89.15</w:t>
            </w:r>
          </w:p>
        </w:tc>
      </w:tr>
    </w:tbl>
    <w:p>
      <w:pPr>
        <w:jc w:val="center"/>
        <w:rPr>
          <w:rFonts w:hint="eastAsia" w:ascii="Times New Roman" w:hAnsi="Times New Roman" w:cs="Times New Roman"/>
          <w:sz w:val="15"/>
          <w:szCs w:val="15"/>
          <w:lang w:val="en-US" w:eastAsia="zh-CN"/>
        </w:rPr>
      </w:pPr>
    </w:p>
    <w:p>
      <w:pPr>
        <w:rPr>
          <w:rFonts w:hint="eastAsia" w:cs="宋体" w:asciiTheme="minorEastAsia" w:hAnsiTheme="minorEastAsia" w:eastAsiaTheme="minorEastAsia"/>
          <w:sz w:val="21"/>
          <w:szCs w:val="21"/>
        </w:rPr>
      </w:pPr>
    </w:p>
    <w:p>
      <w:pPr>
        <w:ind w:firstLine="419"/>
        <w:jc w:val="center"/>
        <w:rPr>
          <w:rFonts w:hint="eastAsia" w:cs="宋体" w:asciiTheme="minorEastAsia" w:hAnsiTheme="minorEastAsia" w:eastAsiaTheme="minorEastAsia"/>
          <w:sz w:val="21"/>
          <w:szCs w:val="21"/>
        </w:rPr>
      </w:pPr>
      <w:r>
        <w:rPr>
          <w:rFonts w:hint="eastAsia" w:ascii="黑体" w:eastAsia="黑体"/>
          <w:szCs w:val="18"/>
        </w:rPr>
        <w:t>表</w:t>
      </w:r>
      <w:r>
        <w:rPr>
          <w:rFonts w:hint="eastAsia" w:ascii="黑体" w:eastAsia="黑体"/>
          <w:szCs w:val="18"/>
          <w:lang w:val="en-US" w:eastAsia="zh-CN"/>
        </w:rPr>
        <w:t>7</w:t>
      </w:r>
      <w:r>
        <w:rPr>
          <w:rFonts w:hint="eastAsia" w:ascii="黑体" w:eastAsia="黑体"/>
          <w:szCs w:val="18"/>
        </w:rPr>
        <w:t xml:space="preserve">  随机抽样(rs)和产品平衡抽样(pb)两种抽样策略的比较</w:t>
      </w:r>
    </w:p>
    <w:tbl>
      <w:tblPr>
        <w:tblStyle w:val="26"/>
        <w:tblW w:w="4993" w:type="pct"/>
        <w:tblInd w:w="0" w:type="dxa"/>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Layout w:type="autofit"/>
        <w:tblCellMar>
          <w:top w:w="0" w:type="dxa"/>
          <w:left w:w="0" w:type="dxa"/>
          <w:bottom w:w="0" w:type="dxa"/>
          <w:right w:w="0" w:type="dxa"/>
        </w:tblCellMar>
      </w:tblPr>
      <w:tblGrid>
        <w:gridCol w:w="555"/>
        <w:gridCol w:w="793"/>
        <w:gridCol w:w="594"/>
        <w:gridCol w:w="631"/>
        <w:gridCol w:w="661"/>
        <w:gridCol w:w="678"/>
        <w:gridCol w:w="688"/>
      </w:tblGrid>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344" w:hRule="atLeast"/>
        </w:trPr>
        <w:tc>
          <w:tcPr>
            <w:tcW w:w="603" w:type="pct"/>
            <w:tcBorders>
              <w:tl2br w:val="nil"/>
              <w:tr2bl w:val="nil"/>
            </w:tcBorders>
            <w:vAlign w:val="top"/>
          </w:tcPr>
          <w:p>
            <w:pPr>
              <w:jc w:val="center"/>
              <w:rPr>
                <w:rFonts w:hint="eastAsia"/>
                <w:sz w:val="15"/>
                <w:szCs w:val="15"/>
              </w:rPr>
            </w:pPr>
            <w:r>
              <w:rPr>
                <w:rFonts w:hint="eastAsia"/>
                <w:sz w:val="15"/>
                <w:szCs w:val="15"/>
              </w:rPr>
              <w:t>任务</w:t>
            </w:r>
          </w:p>
        </w:tc>
        <w:tc>
          <w:tcPr>
            <w:tcW w:w="861" w:type="pct"/>
            <w:tcBorders>
              <w:tl2br w:val="nil"/>
              <w:tr2bl w:val="nil"/>
            </w:tcBorders>
            <w:vAlign w:val="top"/>
          </w:tcPr>
          <w:p>
            <w:pPr>
              <w:jc w:val="center"/>
              <w:rPr>
                <w:rFonts w:hint="eastAsia"/>
                <w:sz w:val="15"/>
                <w:szCs w:val="15"/>
              </w:rPr>
            </w:pPr>
            <w:r>
              <w:rPr>
                <w:rFonts w:hint="eastAsia"/>
                <w:sz w:val="15"/>
                <w:szCs w:val="15"/>
              </w:rPr>
              <w:t>策略</w:t>
            </w:r>
          </w:p>
        </w:tc>
        <w:tc>
          <w:tcPr>
            <w:tcW w:w="645" w:type="pct"/>
            <w:tcBorders>
              <w:tl2br w:val="nil"/>
              <w:tr2bl w:val="nil"/>
            </w:tcBorders>
            <w:vAlign w:val="top"/>
          </w:tcPr>
          <w:p>
            <w:pPr>
              <w:jc w:val="center"/>
              <w:rPr>
                <w:rFonts w:hint="eastAsia"/>
                <w:sz w:val="15"/>
                <w:szCs w:val="15"/>
              </w:rPr>
            </w:pPr>
            <w:r>
              <w:rPr>
                <w:rFonts w:hint="eastAsia"/>
                <w:sz w:val="15"/>
                <w:szCs w:val="15"/>
              </w:rPr>
              <w:t>R@1</w:t>
            </w:r>
          </w:p>
        </w:tc>
        <w:tc>
          <w:tcPr>
            <w:tcW w:w="685" w:type="pct"/>
            <w:tcBorders>
              <w:tl2br w:val="nil"/>
              <w:tr2bl w:val="nil"/>
            </w:tcBorders>
            <w:vAlign w:val="top"/>
          </w:tcPr>
          <w:p>
            <w:pPr>
              <w:jc w:val="center"/>
              <w:rPr>
                <w:rFonts w:hint="eastAsia"/>
                <w:sz w:val="15"/>
                <w:szCs w:val="15"/>
              </w:rPr>
            </w:pPr>
            <w:r>
              <w:rPr>
                <w:rFonts w:hint="eastAsia"/>
                <w:sz w:val="15"/>
                <w:szCs w:val="15"/>
              </w:rPr>
              <w:t>R@5</w:t>
            </w:r>
          </w:p>
        </w:tc>
        <w:tc>
          <w:tcPr>
            <w:tcW w:w="718" w:type="pct"/>
            <w:tcBorders>
              <w:tl2br w:val="nil"/>
              <w:tr2bl w:val="nil"/>
            </w:tcBorders>
            <w:vAlign w:val="top"/>
          </w:tcPr>
          <w:p>
            <w:pPr>
              <w:jc w:val="center"/>
              <w:rPr>
                <w:rFonts w:hint="eastAsia"/>
                <w:sz w:val="15"/>
                <w:szCs w:val="15"/>
              </w:rPr>
            </w:pPr>
            <w:r>
              <w:rPr>
                <w:rFonts w:hint="eastAsia"/>
                <w:sz w:val="15"/>
                <w:szCs w:val="15"/>
              </w:rPr>
              <w:t>R@10</w:t>
            </w:r>
          </w:p>
        </w:tc>
        <w:tc>
          <w:tcPr>
            <w:tcW w:w="736" w:type="pct"/>
            <w:tcBorders>
              <w:tl2br w:val="nil"/>
              <w:tr2bl w:val="nil"/>
            </w:tcBorders>
            <w:vAlign w:val="top"/>
          </w:tcPr>
          <w:p>
            <w:pPr>
              <w:jc w:val="center"/>
              <w:rPr>
                <w:rFonts w:hint="eastAsia"/>
                <w:sz w:val="15"/>
                <w:szCs w:val="15"/>
              </w:rPr>
            </w:pPr>
            <w:r>
              <w:rPr>
                <w:rFonts w:hint="eastAsia"/>
                <w:sz w:val="15"/>
                <w:szCs w:val="15"/>
              </w:rPr>
              <w:t>R@20</w:t>
            </w:r>
          </w:p>
        </w:tc>
        <w:tc>
          <w:tcPr>
            <w:tcW w:w="747" w:type="pct"/>
            <w:tcBorders>
              <w:tl2br w:val="nil"/>
              <w:tr2bl w:val="nil"/>
            </w:tcBorders>
            <w:vAlign w:val="top"/>
          </w:tcPr>
          <w:p>
            <w:pPr>
              <w:jc w:val="center"/>
              <w:rPr>
                <w:rFonts w:hint="eastAsia"/>
                <w:sz w:val="15"/>
                <w:szCs w:val="15"/>
              </w:rPr>
            </w:pPr>
            <w:r>
              <w:rPr>
                <w:rFonts w:hint="eastAsia"/>
                <w:sz w:val="15"/>
                <w:szCs w:val="15"/>
              </w:rPr>
              <w:t>R@50</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315" w:hRule="atLeast"/>
        </w:trPr>
        <w:tc>
          <w:tcPr>
            <w:tcW w:w="603" w:type="pct"/>
            <w:vMerge w:val="restart"/>
            <w:tcBorders>
              <w:tl2br w:val="nil"/>
              <w:tr2bl w:val="nil"/>
            </w:tcBorders>
            <w:vAlign w:val="top"/>
          </w:tcPr>
          <w:p>
            <w:pPr>
              <w:jc w:val="center"/>
              <w:rPr>
                <w:rFonts w:hint="eastAsia"/>
                <w:sz w:val="15"/>
                <w:szCs w:val="15"/>
              </w:rPr>
            </w:pPr>
            <w:r>
              <w:rPr>
                <w:rFonts w:hint="eastAsia"/>
                <w:sz w:val="15"/>
                <w:szCs w:val="15"/>
              </w:rPr>
              <w:t>P2V</w:t>
            </w:r>
          </w:p>
        </w:tc>
        <w:tc>
          <w:tcPr>
            <w:tcW w:w="861" w:type="pct"/>
            <w:tcBorders>
              <w:tl2br w:val="nil"/>
              <w:tr2bl w:val="nil"/>
            </w:tcBorders>
            <w:vAlign w:val="top"/>
          </w:tcPr>
          <w:p>
            <w:pPr>
              <w:jc w:val="center"/>
              <w:rPr>
                <w:rFonts w:hint="eastAsia"/>
                <w:sz w:val="15"/>
                <w:szCs w:val="15"/>
              </w:rPr>
            </w:pPr>
            <w:r>
              <w:rPr>
                <w:rFonts w:hint="eastAsia"/>
                <w:sz w:val="15"/>
                <w:szCs w:val="15"/>
              </w:rPr>
              <w:t>rs</w:t>
            </w:r>
          </w:p>
        </w:tc>
        <w:tc>
          <w:tcPr>
            <w:tcW w:w="645" w:type="pct"/>
            <w:tcBorders>
              <w:tl2br w:val="nil"/>
              <w:tr2bl w:val="nil"/>
            </w:tcBorders>
            <w:vAlign w:val="top"/>
          </w:tcPr>
          <w:p>
            <w:pPr>
              <w:jc w:val="center"/>
              <w:rPr>
                <w:rFonts w:hint="eastAsia"/>
                <w:sz w:val="15"/>
                <w:szCs w:val="15"/>
              </w:rPr>
            </w:pPr>
            <w:r>
              <w:rPr>
                <w:rFonts w:hint="eastAsia"/>
                <w:sz w:val="15"/>
                <w:szCs w:val="15"/>
              </w:rPr>
              <w:t>70.08</w:t>
            </w:r>
          </w:p>
        </w:tc>
        <w:tc>
          <w:tcPr>
            <w:tcW w:w="685" w:type="pct"/>
            <w:tcBorders>
              <w:tl2br w:val="nil"/>
              <w:tr2bl w:val="nil"/>
            </w:tcBorders>
            <w:vAlign w:val="top"/>
          </w:tcPr>
          <w:p>
            <w:pPr>
              <w:jc w:val="center"/>
              <w:rPr>
                <w:rFonts w:hint="eastAsia"/>
                <w:sz w:val="15"/>
                <w:szCs w:val="15"/>
              </w:rPr>
            </w:pPr>
            <w:r>
              <w:rPr>
                <w:rFonts w:hint="eastAsia"/>
                <w:sz w:val="15"/>
                <w:szCs w:val="15"/>
              </w:rPr>
              <w:t>88.49</w:t>
            </w:r>
          </w:p>
        </w:tc>
        <w:tc>
          <w:tcPr>
            <w:tcW w:w="718" w:type="pct"/>
            <w:tcBorders>
              <w:tl2br w:val="nil"/>
              <w:tr2bl w:val="nil"/>
            </w:tcBorders>
            <w:vAlign w:val="top"/>
          </w:tcPr>
          <w:p>
            <w:pPr>
              <w:jc w:val="center"/>
              <w:rPr>
                <w:rFonts w:hint="eastAsia"/>
                <w:sz w:val="15"/>
                <w:szCs w:val="15"/>
              </w:rPr>
            </w:pPr>
            <w:r>
              <w:rPr>
                <w:rFonts w:hint="eastAsia"/>
                <w:sz w:val="15"/>
                <w:szCs w:val="15"/>
              </w:rPr>
              <w:t>93.18</w:t>
            </w:r>
          </w:p>
        </w:tc>
        <w:tc>
          <w:tcPr>
            <w:tcW w:w="736" w:type="pct"/>
            <w:tcBorders>
              <w:tl2br w:val="nil"/>
              <w:tr2bl w:val="nil"/>
            </w:tcBorders>
            <w:vAlign w:val="top"/>
          </w:tcPr>
          <w:p>
            <w:pPr>
              <w:jc w:val="center"/>
              <w:rPr>
                <w:rFonts w:hint="eastAsia"/>
                <w:sz w:val="15"/>
                <w:szCs w:val="15"/>
              </w:rPr>
            </w:pPr>
            <w:r>
              <w:rPr>
                <w:rFonts w:hint="eastAsia"/>
                <w:sz w:val="15"/>
                <w:szCs w:val="15"/>
              </w:rPr>
              <w:t>96.22</w:t>
            </w:r>
          </w:p>
        </w:tc>
        <w:tc>
          <w:tcPr>
            <w:tcW w:w="747" w:type="pct"/>
            <w:tcBorders>
              <w:tl2br w:val="nil"/>
              <w:tr2bl w:val="nil"/>
            </w:tcBorders>
            <w:vAlign w:val="top"/>
          </w:tcPr>
          <w:p>
            <w:pPr>
              <w:jc w:val="center"/>
              <w:rPr>
                <w:rFonts w:hint="eastAsia"/>
                <w:sz w:val="15"/>
                <w:szCs w:val="15"/>
              </w:rPr>
            </w:pPr>
            <w:r>
              <w:rPr>
                <w:rFonts w:hint="eastAsia"/>
                <w:sz w:val="15"/>
                <w:szCs w:val="15"/>
              </w:rPr>
              <w:t>98.40</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23" w:hRule="atLeast"/>
        </w:trPr>
        <w:tc>
          <w:tcPr>
            <w:tcW w:w="603" w:type="pct"/>
            <w:vMerge w:val="continue"/>
            <w:tcBorders>
              <w:tl2br w:val="nil"/>
              <w:tr2bl w:val="nil"/>
            </w:tcBorders>
            <w:vAlign w:val="top"/>
          </w:tcPr>
          <w:p>
            <w:pPr>
              <w:jc w:val="center"/>
              <w:rPr>
                <w:rFonts w:hint="eastAsia"/>
                <w:sz w:val="15"/>
                <w:szCs w:val="15"/>
              </w:rPr>
            </w:pPr>
          </w:p>
        </w:tc>
        <w:tc>
          <w:tcPr>
            <w:tcW w:w="861" w:type="pct"/>
            <w:tcBorders>
              <w:tl2br w:val="nil"/>
              <w:tr2bl w:val="nil"/>
            </w:tcBorders>
            <w:vAlign w:val="top"/>
          </w:tcPr>
          <w:p>
            <w:pPr>
              <w:jc w:val="center"/>
              <w:rPr>
                <w:rFonts w:hint="eastAsia"/>
                <w:sz w:val="15"/>
                <w:szCs w:val="15"/>
              </w:rPr>
            </w:pPr>
            <w:r>
              <w:rPr>
                <w:rFonts w:hint="eastAsia"/>
                <w:sz w:val="15"/>
                <w:szCs w:val="15"/>
              </w:rPr>
              <w:t>pb</w:t>
            </w:r>
          </w:p>
        </w:tc>
        <w:tc>
          <w:tcPr>
            <w:tcW w:w="645" w:type="pct"/>
            <w:tcBorders>
              <w:tl2br w:val="nil"/>
              <w:tr2bl w:val="nil"/>
            </w:tcBorders>
            <w:vAlign w:val="top"/>
          </w:tcPr>
          <w:p>
            <w:pPr>
              <w:jc w:val="center"/>
              <w:rPr>
                <w:rFonts w:hint="eastAsia"/>
                <w:sz w:val="15"/>
                <w:szCs w:val="15"/>
              </w:rPr>
            </w:pPr>
            <w:r>
              <w:rPr>
                <w:rFonts w:hint="eastAsia"/>
                <w:sz w:val="15"/>
                <w:szCs w:val="15"/>
              </w:rPr>
              <w:t>82.58</w:t>
            </w:r>
          </w:p>
        </w:tc>
        <w:tc>
          <w:tcPr>
            <w:tcW w:w="685" w:type="pct"/>
            <w:tcBorders>
              <w:tl2br w:val="nil"/>
              <w:tr2bl w:val="nil"/>
            </w:tcBorders>
            <w:vAlign w:val="top"/>
          </w:tcPr>
          <w:p>
            <w:pPr>
              <w:jc w:val="center"/>
              <w:rPr>
                <w:rFonts w:hint="eastAsia"/>
                <w:sz w:val="15"/>
                <w:szCs w:val="15"/>
              </w:rPr>
            </w:pPr>
            <w:r>
              <w:rPr>
                <w:rFonts w:hint="eastAsia"/>
                <w:sz w:val="15"/>
                <w:szCs w:val="15"/>
              </w:rPr>
              <w:t>94.88</w:t>
            </w:r>
          </w:p>
        </w:tc>
        <w:tc>
          <w:tcPr>
            <w:tcW w:w="718" w:type="pct"/>
            <w:tcBorders>
              <w:tl2br w:val="nil"/>
              <w:tr2bl w:val="nil"/>
            </w:tcBorders>
            <w:vAlign w:val="top"/>
          </w:tcPr>
          <w:p>
            <w:pPr>
              <w:jc w:val="center"/>
              <w:rPr>
                <w:rFonts w:hint="eastAsia"/>
                <w:sz w:val="15"/>
                <w:szCs w:val="15"/>
              </w:rPr>
            </w:pPr>
            <w:r>
              <w:rPr>
                <w:rFonts w:hint="eastAsia"/>
                <w:sz w:val="15"/>
                <w:szCs w:val="15"/>
              </w:rPr>
              <w:t>97.54</w:t>
            </w:r>
          </w:p>
        </w:tc>
        <w:tc>
          <w:tcPr>
            <w:tcW w:w="736" w:type="pct"/>
            <w:tcBorders>
              <w:tl2br w:val="nil"/>
              <w:tr2bl w:val="nil"/>
            </w:tcBorders>
            <w:vAlign w:val="top"/>
          </w:tcPr>
          <w:p>
            <w:pPr>
              <w:jc w:val="center"/>
              <w:rPr>
                <w:rFonts w:hint="eastAsia"/>
                <w:sz w:val="15"/>
                <w:szCs w:val="15"/>
              </w:rPr>
            </w:pPr>
            <w:r>
              <w:rPr>
                <w:rFonts w:hint="eastAsia"/>
                <w:sz w:val="15"/>
                <w:szCs w:val="15"/>
              </w:rPr>
              <w:t>98.89</w:t>
            </w:r>
          </w:p>
        </w:tc>
        <w:tc>
          <w:tcPr>
            <w:tcW w:w="747" w:type="pct"/>
            <w:tcBorders>
              <w:tl2br w:val="nil"/>
              <w:tr2bl w:val="nil"/>
            </w:tcBorders>
            <w:vAlign w:val="top"/>
          </w:tcPr>
          <w:p>
            <w:pPr>
              <w:jc w:val="center"/>
              <w:rPr>
                <w:rFonts w:hint="eastAsia"/>
                <w:sz w:val="15"/>
                <w:szCs w:val="15"/>
              </w:rPr>
            </w:pPr>
            <w:r>
              <w:rPr>
                <w:rFonts w:hint="eastAsia"/>
                <w:sz w:val="15"/>
                <w:szCs w:val="15"/>
              </w:rPr>
              <w:t>99.65</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325" w:hRule="atLeast"/>
        </w:trPr>
        <w:tc>
          <w:tcPr>
            <w:tcW w:w="603" w:type="pct"/>
            <w:vMerge w:val="restart"/>
            <w:tcBorders>
              <w:tl2br w:val="nil"/>
              <w:tr2bl w:val="nil"/>
            </w:tcBorders>
            <w:vAlign w:val="top"/>
          </w:tcPr>
          <w:p>
            <w:pPr>
              <w:jc w:val="center"/>
              <w:rPr>
                <w:rFonts w:hint="eastAsia"/>
                <w:sz w:val="15"/>
                <w:szCs w:val="15"/>
              </w:rPr>
            </w:pPr>
            <w:r>
              <w:rPr>
                <w:rFonts w:hint="eastAsia"/>
                <w:sz w:val="15"/>
                <w:szCs w:val="15"/>
              </w:rPr>
              <w:t>V2P</w:t>
            </w:r>
          </w:p>
        </w:tc>
        <w:tc>
          <w:tcPr>
            <w:tcW w:w="861" w:type="pct"/>
            <w:tcBorders>
              <w:tl2br w:val="nil"/>
              <w:tr2bl w:val="nil"/>
            </w:tcBorders>
            <w:vAlign w:val="top"/>
          </w:tcPr>
          <w:p>
            <w:pPr>
              <w:jc w:val="center"/>
              <w:rPr>
                <w:rFonts w:hint="eastAsia"/>
                <w:sz w:val="15"/>
                <w:szCs w:val="15"/>
              </w:rPr>
            </w:pPr>
            <w:r>
              <w:rPr>
                <w:rFonts w:hint="eastAsia"/>
                <w:sz w:val="15"/>
                <w:szCs w:val="15"/>
              </w:rPr>
              <w:t>rs</w:t>
            </w:r>
          </w:p>
        </w:tc>
        <w:tc>
          <w:tcPr>
            <w:tcW w:w="645" w:type="pct"/>
            <w:tcBorders>
              <w:tl2br w:val="nil"/>
              <w:tr2bl w:val="nil"/>
            </w:tcBorders>
            <w:vAlign w:val="top"/>
          </w:tcPr>
          <w:p>
            <w:pPr>
              <w:jc w:val="center"/>
              <w:rPr>
                <w:rFonts w:hint="eastAsia"/>
                <w:sz w:val="15"/>
                <w:szCs w:val="15"/>
              </w:rPr>
            </w:pPr>
            <w:r>
              <w:rPr>
                <w:rFonts w:hint="eastAsia"/>
                <w:sz w:val="15"/>
                <w:szCs w:val="15"/>
              </w:rPr>
              <w:t>55.26</w:t>
            </w:r>
          </w:p>
        </w:tc>
        <w:tc>
          <w:tcPr>
            <w:tcW w:w="685" w:type="pct"/>
            <w:tcBorders>
              <w:tl2br w:val="nil"/>
              <w:tr2bl w:val="nil"/>
            </w:tcBorders>
            <w:vAlign w:val="top"/>
          </w:tcPr>
          <w:p>
            <w:pPr>
              <w:jc w:val="center"/>
              <w:rPr>
                <w:rFonts w:hint="eastAsia"/>
                <w:sz w:val="15"/>
                <w:szCs w:val="15"/>
              </w:rPr>
            </w:pPr>
            <w:r>
              <w:rPr>
                <w:rFonts w:hint="eastAsia"/>
                <w:sz w:val="15"/>
                <w:szCs w:val="15"/>
              </w:rPr>
              <w:t>68.74</w:t>
            </w:r>
          </w:p>
        </w:tc>
        <w:tc>
          <w:tcPr>
            <w:tcW w:w="718" w:type="pct"/>
            <w:tcBorders>
              <w:tl2br w:val="nil"/>
              <w:tr2bl w:val="nil"/>
            </w:tcBorders>
            <w:vAlign w:val="top"/>
          </w:tcPr>
          <w:p>
            <w:pPr>
              <w:jc w:val="center"/>
              <w:rPr>
                <w:rFonts w:hint="eastAsia"/>
                <w:sz w:val="15"/>
                <w:szCs w:val="15"/>
              </w:rPr>
            </w:pPr>
            <w:r>
              <w:rPr>
                <w:rFonts w:hint="eastAsia"/>
                <w:sz w:val="15"/>
                <w:szCs w:val="15"/>
              </w:rPr>
              <w:t>75.44</w:t>
            </w:r>
          </w:p>
        </w:tc>
        <w:tc>
          <w:tcPr>
            <w:tcW w:w="736" w:type="pct"/>
            <w:tcBorders>
              <w:tl2br w:val="nil"/>
              <w:tr2bl w:val="nil"/>
            </w:tcBorders>
            <w:vAlign w:val="top"/>
          </w:tcPr>
          <w:p>
            <w:pPr>
              <w:jc w:val="center"/>
              <w:rPr>
                <w:rFonts w:hint="eastAsia"/>
                <w:sz w:val="15"/>
                <w:szCs w:val="15"/>
              </w:rPr>
            </w:pPr>
            <w:r>
              <w:rPr>
                <w:rFonts w:hint="eastAsia"/>
                <w:sz w:val="15"/>
                <w:szCs w:val="15"/>
              </w:rPr>
              <w:t>81.87</w:t>
            </w:r>
          </w:p>
        </w:tc>
        <w:tc>
          <w:tcPr>
            <w:tcW w:w="747" w:type="pct"/>
            <w:tcBorders>
              <w:tl2br w:val="nil"/>
              <w:tr2bl w:val="nil"/>
            </w:tcBorders>
            <w:vAlign w:val="top"/>
          </w:tcPr>
          <w:p>
            <w:pPr>
              <w:jc w:val="center"/>
              <w:rPr>
                <w:rFonts w:hint="eastAsia"/>
                <w:sz w:val="15"/>
                <w:szCs w:val="15"/>
              </w:rPr>
            </w:pPr>
            <w:r>
              <w:rPr>
                <w:rFonts w:hint="eastAsia"/>
                <w:sz w:val="15"/>
                <w:szCs w:val="15"/>
              </w:rPr>
              <w:t>88.45</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33" w:hRule="atLeast"/>
        </w:trPr>
        <w:tc>
          <w:tcPr>
            <w:tcW w:w="603" w:type="pct"/>
            <w:vMerge w:val="continue"/>
            <w:tcBorders>
              <w:tl2br w:val="nil"/>
              <w:tr2bl w:val="nil"/>
            </w:tcBorders>
            <w:vAlign w:val="top"/>
          </w:tcPr>
          <w:p>
            <w:pPr>
              <w:jc w:val="center"/>
              <w:rPr>
                <w:rFonts w:hint="eastAsia"/>
                <w:sz w:val="15"/>
                <w:szCs w:val="15"/>
              </w:rPr>
            </w:pPr>
          </w:p>
        </w:tc>
        <w:tc>
          <w:tcPr>
            <w:tcW w:w="861" w:type="pct"/>
            <w:tcBorders>
              <w:tl2br w:val="nil"/>
              <w:tr2bl w:val="nil"/>
            </w:tcBorders>
            <w:vAlign w:val="top"/>
          </w:tcPr>
          <w:p>
            <w:pPr>
              <w:jc w:val="center"/>
              <w:rPr>
                <w:rFonts w:hint="eastAsia"/>
                <w:sz w:val="15"/>
                <w:szCs w:val="15"/>
              </w:rPr>
            </w:pPr>
            <w:r>
              <w:rPr>
                <w:rFonts w:hint="eastAsia"/>
                <w:sz w:val="15"/>
                <w:szCs w:val="15"/>
              </w:rPr>
              <w:t>pb</w:t>
            </w:r>
          </w:p>
        </w:tc>
        <w:tc>
          <w:tcPr>
            <w:tcW w:w="645" w:type="pct"/>
            <w:tcBorders>
              <w:tl2br w:val="nil"/>
              <w:tr2bl w:val="nil"/>
            </w:tcBorders>
            <w:vAlign w:val="top"/>
          </w:tcPr>
          <w:p>
            <w:pPr>
              <w:jc w:val="center"/>
              <w:rPr>
                <w:rFonts w:hint="eastAsia"/>
                <w:sz w:val="15"/>
                <w:szCs w:val="15"/>
              </w:rPr>
            </w:pPr>
            <w:r>
              <w:rPr>
                <w:rFonts w:hint="eastAsia"/>
                <w:sz w:val="15"/>
                <w:szCs w:val="15"/>
              </w:rPr>
              <w:t>65.20</w:t>
            </w:r>
          </w:p>
        </w:tc>
        <w:tc>
          <w:tcPr>
            <w:tcW w:w="685" w:type="pct"/>
            <w:tcBorders>
              <w:tl2br w:val="nil"/>
              <w:tr2bl w:val="nil"/>
            </w:tcBorders>
            <w:vAlign w:val="top"/>
          </w:tcPr>
          <w:p>
            <w:pPr>
              <w:jc w:val="center"/>
              <w:rPr>
                <w:rFonts w:hint="eastAsia"/>
                <w:sz w:val="15"/>
                <w:szCs w:val="15"/>
              </w:rPr>
            </w:pPr>
            <w:r>
              <w:rPr>
                <w:rFonts w:hint="eastAsia"/>
                <w:sz w:val="15"/>
                <w:szCs w:val="15"/>
              </w:rPr>
              <w:t>76.56</w:t>
            </w:r>
          </w:p>
        </w:tc>
        <w:tc>
          <w:tcPr>
            <w:tcW w:w="718" w:type="pct"/>
            <w:tcBorders>
              <w:tl2br w:val="nil"/>
              <w:tr2bl w:val="nil"/>
            </w:tcBorders>
            <w:vAlign w:val="top"/>
          </w:tcPr>
          <w:p>
            <w:pPr>
              <w:jc w:val="center"/>
              <w:rPr>
                <w:rFonts w:hint="eastAsia"/>
                <w:sz w:val="15"/>
                <w:szCs w:val="15"/>
              </w:rPr>
            </w:pPr>
            <w:r>
              <w:rPr>
                <w:rFonts w:hint="eastAsia"/>
                <w:sz w:val="15"/>
                <w:szCs w:val="15"/>
              </w:rPr>
              <w:t>82.04</w:t>
            </w:r>
          </w:p>
        </w:tc>
        <w:tc>
          <w:tcPr>
            <w:tcW w:w="736" w:type="pct"/>
            <w:tcBorders>
              <w:tl2br w:val="nil"/>
              <w:tr2bl w:val="nil"/>
            </w:tcBorders>
            <w:vAlign w:val="top"/>
          </w:tcPr>
          <w:p>
            <w:pPr>
              <w:jc w:val="center"/>
              <w:rPr>
                <w:rFonts w:hint="eastAsia"/>
                <w:sz w:val="15"/>
                <w:szCs w:val="15"/>
              </w:rPr>
            </w:pPr>
            <w:r>
              <w:rPr>
                <w:rFonts w:hint="eastAsia"/>
                <w:sz w:val="15"/>
                <w:szCs w:val="15"/>
              </w:rPr>
              <w:t>86.86</w:t>
            </w:r>
          </w:p>
        </w:tc>
        <w:tc>
          <w:tcPr>
            <w:tcW w:w="747" w:type="pct"/>
            <w:tcBorders>
              <w:tl2br w:val="nil"/>
              <w:tr2bl w:val="nil"/>
            </w:tcBorders>
            <w:vAlign w:val="top"/>
          </w:tcPr>
          <w:p>
            <w:pPr>
              <w:jc w:val="center"/>
              <w:rPr>
                <w:rFonts w:hint="eastAsia"/>
                <w:sz w:val="15"/>
                <w:szCs w:val="15"/>
              </w:rPr>
            </w:pPr>
            <w:r>
              <w:rPr>
                <w:rFonts w:hint="eastAsia"/>
                <w:sz w:val="15"/>
                <w:szCs w:val="15"/>
              </w:rPr>
              <w:t>91.69</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326" w:hRule="atLeast"/>
        </w:trPr>
        <w:tc>
          <w:tcPr>
            <w:tcW w:w="603" w:type="pct"/>
            <w:vMerge w:val="restart"/>
            <w:tcBorders>
              <w:tl2br w:val="nil"/>
              <w:tr2bl w:val="nil"/>
            </w:tcBorders>
            <w:vAlign w:val="top"/>
          </w:tcPr>
          <w:p>
            <w:pPr>
              <w:jc w:val="center"/>
              <w:rPr>
                <w:rFonts w:hint="eastAsia"/>
                <w:sz w:val="15"/>
                <w:szCs w:val="15"/>
              </w:rPr>
            </w:pPr>
            <w:r>
              <w:rPr>
                <w:rFonts w:hint="eastAsia"/>
                <w:sz w:val="15"/>
                <w:szCs w:val="15"/>
              </w:rPr>
              <w:t>P2L</w:t>
            </w:r>
          </w:p>
        </w:tc>
        <w:tc>
          <w:tcPr>
            <w:tcW w:w="861" w:type="pct"/>
            <w:tcBorders>
              <w:tl2br w:val="nil"/>
              <w:tr2bl w:val="nil"/>
            </w:tcBorders>
            <w:vAlign w:val="top"/>
          </w:tcPr>
          <w:p>
            <w:pPr>
              <w:jc w:val="center"/>
              <w:rPr>
                <w:rFonts w:hint="eastAsia"/>
                <w:sz w:val="15"/>
                <w:szCs w:val="15"/>
              </w:rPr>
            </w:pPr>
            <w:r>
              <w:rPr>
                <w:rFonts w:hint="eastAsia"/>
                <w:sz w:val="15"/>
                <w:szCs w:val="15"/>
              </w:rPr>
              <w:t>rS</w:t>
            </w:r>
          </w:p>
        </w:tc>
        <w:tc>
          <w:tcPr>
            <w:tcW w:w="645" w:type="pct"/>
            <w:tcBorders>
              <w:tl2br w:val="nil"/>
              <w:tr2bl w:val="nil"/>
            </w:tcBorders>
            <w:vAlign w:val="top"/>
          </w:tcPr>
          <w:p>
            <w:pPr>
              <w:jc w:val="center"/>
              <w:rPr>
                <w:rFonts w:hint="eastAsia"/>
                <w:sz w:val="15"/>
                <w:szCs w:val="15"/>
              </w:rPr>
            </w:pPr>
            <w:r>
              <w:rPr>
                <w:rFonts w:hint="eastAsia"/>
                <w:sz w:val="15"/>
                <w:szCs w:val="15"/>
              </w:rPr>
              <w:t>40.85</w:t>
            </w:r>
          </w:p>
        </w:tc>
        <w:tc>
          <w:tcPr>
            <w:tcW w:w="685" w:type="pct"/>
            <w:tcBorders>
              <w:tl2br w:val="nil"/>
              <w:tr2bl w:val="nil"/>
            </w:tcBorders>
            <w:vAlign w:val="top"/>
          </w:tcPr>
          <w:p>
            <w:pPr>
              <w:jc w:val="center"/>
              <w:rPr>
                <w:rFonts w:hint="eastAsia"/>
                <w:sz w:val="15"/>
                <w:szCs w:val="15"/>
              </w:rPr>
            </w:pPr>
            <w:r>
              <w:rPr>
                <w:rFonts w:hint="eastAsia"/>
                <w:sz w:val="15"/>
                <w:szCs w:val="15"/>
              </w:rPr>
              <w:t>60.39</w:t>
            </w:r>
          </w:p>
        </w:tc>
        <w:tc>
          <w:tcPr>
            <w:tcW w:w="718" w:type="pct"/>
            <w:tcBorders>
              <w:tl2br w:val="nil"/>
              <w:tr2bl w:val="nil"/>
            </w:tcBorders>
            <w:vAlign w:val="top"/>
          </w:tcPr>
          <w:p>
            <w:pPr>
              <w:jc w:val="center"/>
              <w:rPr>
                <w:rFonts w:hint="eastAsia"/>
                <w:sz w:val="15"/>
                <w:szCs w:val="15"/>
              </w:rPr>
            </w:pPr>
            <w:r>
              <w:rPr>
                <w:rFonts w:hint="eastAsia"/>
                <w:sz w:val="15"/>
                <w:szCs w:val="15"/>
              </w:rPr>
              <w:t>68.51</w:t>
            </w:r>
          </w:p>
        </w:tc>
        <w:tc>
          <w:tcPr>
            <w:tcW w:w="736" w:type="pct"/>
            <w:tcBorders>
              <w:tl2br w:val="nil"/>
              <w:tr2bl w:val="nil"/>
            </w:tcBorders>
            <w:vAlign w:val="top"/>
          </w:tcPr>
          <w:p>
            <w:pPr>
              <w:jc w:val="center"/>
              <w:rPr>
                <w:rFonts w:hint="eastAsia"/>
                <w:sz w:val="15"/>
                <w:szCs w:val="15"/>
              </w:rPr>
            </w:pPr>
            <w:r>
              <w:rPr>
                <w:rFonts w:hint="eastAsia"/>
                <w:sz w:val="15"/>
                <w:szCs w:val="15"/>
              </w:rPr>
              <w:t>76.42</w:t>
            </w:r>
          </w:p>
        </w:tc>
        <w:tc>
          <w:tcPr>
            <w:tcW w:w="747" w:type="pct"/>
            <w:tcBorders>
              <w:tl2br w:val="nil"/>
              <w:tr2bl w:val="nil"/>
            </w:tcBorders>
            <w:vAlign w:val="top"/>
          </w:tcPr>
          <w:p>
            <w:pPr>
              <w:jc w:val="center"/>
              <w:rPr>
                <w:rFonts w:hint="eastAsia"/>
                <w:sz w:val="15"/>
                <w:szCs w:val="15"/>
              </w:rPr>
            </w:pPr>
            <w:r>
              <w:rPr>
                <w:rFonts w:hint="eastAsia"/>
                <w:sz w:val="15"/>
                <w:szCs w:val="15"/>
              </w:rPr>
              <w:t>85.79</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13" w:hRule="atLeast"/>
        </w:trPr>
        <w:tc>
          <w:tcPr>
            <w:tcW w:w="603" w:type="pct"/>
            <w:vMerge w:val="continue"/>
            <w:tcBorders>
              <w:tl2br w:val="nil"/>
              <w:tr2bl w:val="nil"/>
            </w:tcBorders>
            <w:vAlign w:val="top"/>
          </w:tcPr>
          <w:p>
            <w:pPr>
              <w:jc w:val="center"/>
              <w:rPr>
                <w:rFonts w:hint="eastAsia"/>
                <w:sz w:val="15"/>
                <w:szCs w:val="15"/>
              </w:rPr>
            </w:pPr>
          </w:p>
        </w:tc>
        <w:tc>
          <w:tcPr>
            <w:tcW w:w="861" w:type="pct"/>
            <w:tcBorders>
              <w:tl2br w:val="nil"/>
              <w:tr2bl w:val="nil"/>
            </w:tcBorders>
            <w:vAlign w:val="top"/>
          </w:tcPr>
          <w:p>
            <w:pPr>
              <w:jc w:val="center"/>
              <w:rPr>
                <w:rFonts w:hint="eastAsia"/>
                <w:sz w:val="15"/>
                <w:szCs w:val="15"/>
              </w:rPr>
            </w:pPr>
            <w:r>
              <w:rPr>
                <w:rFonts w:hint="eastAsia"/>
                <w:sz w:val="15"/>
                <w:szCs w:val="15"/>
              </w:rPr>
              <w:t>pb</w:t>
            </w:r>
          </w:p>
        </w:tc>
        <w:tc>
          <w:tcPr>
            <w:tcW w:w="645" w:type="pct"/>
            <w:tcBorders>
              <w:tl2br w:val="nil"/>
              <w:tr2bl w:val="nil"/>
            </w:tcBorders>
            <w:vAlign w:val="top"/>
          </w:tcPr>
          <w:p>
            <w:pPr>
              <w:jc w:val="center"/>
              <w:rPr>
                <w:rFonts w:hint="eastAsia"/>
                <w:sz w:val="15"/>
                <w:szCs w:val="15"/>
              </w:rPr>
            </w:pPr>
            <w:r>
              <w:rPr>
                <w:rFonts w:hint="eastAsia"/>
                <w:sz w:val="15"/>
                <w:szCs w:val="15"/>
              </w:rPr>
              <w:t>54.06</w:t>
            </w:r>
          </w:p>
        </w:tc>
        <w:tc>
          <w:tcPr>
            <w:tcW w:w="685" w:type="pct"/>
            <w:tcBorders>
              <w:tl2br w:val="nil"/>
              <w:tr2bl w:val="nil"/>
            </w:tcBorders>
            <w:vAlign w:val="top"/>
          </w:tcPr>
          <w:p>
            <w:pPr>
              <w:jc w:val="center"/>
              <w:rPr>
                <w:rFonts w:hint="eastAsia"/>
                <w:sz w:val="15"/>
                <w:szCs w:val="15"/>
              </w:rPr>
            </w:pPr>
            <w:r>
              <w:rPr>
                <w:rFonts w:hint="eastAsia"/>
                <w:sz w:val="15"/>
                <w:szCs w:val="15"/>
              </w:rPr>
              <w:t>71.07</w:t>
            </w:r>
          </w:p>
        </w:tc>
        <w:tc>
          <w:tcPr>
            <w:tcW w:w="718" w:type="pct"/>
            <w:tcBorders>
              <w:tl2br w:val="nil"/>
              <w:tr2bl w:val="nil"/>
            </w:tcBorders>
            <w:vAlign w:val="top"/>
          </w:tcPr>
          <w:p>
            <w:pPr>
              <w:jc w:val="center"/>
              <w:rPr>
                <w:rFonts w:hint="eastAsia"/>
                <w:sz w:val="15"/>
                <w:szCs w:val="15"/>
              </w:rPr>
            </w:pPr>
            <w:r>
              <w:rPr>
                <w:rFonts w:hint="eastAsia"/>
                <w:sz w:val="15"/>
                <w:szCs w:val="15"/>
              </w:rPr>
              <w:t>77.14</w:t>
            </w:r>
          </w:p>
        </w:tc>
        <w:tc>
          <w:tcPr>
            <w:tcW w:w="736" w:type="pct"/>
            <w:tcBorders>
              <w:tl2br w:val="nil"/>
              <w:tr2bl w:val="nil"/>
            </w:tcBorders>
            <w:vAlign w:val="top"/>
          </w:tcPr>
          <w:p>
            <w:pPr>
              <w:jc w:val="center"/>
              <w:rPr>
                <w:rFonts w:hint="eastAsia"/>
                <w:sz w:val="15"/>
                <w:szCs w:val="15"/>
              </w:rPr>
            </w:pPr>
            <w:r>
              <w:rPr>
                <w:rFonts w:hint="eastAsia"/>
                <w:sz w:val="15"/>
                <w:szCs w:val="15"/>
              </w:rPr>
              <w:t>82.86</w:t>
            </w:r>
          </w:p>
        </w:tc>
        <w:tc>
          <w:tcPr>
            <w:tcW w:w="747" w:type="pct"/>
            <w:tcBorders>
              <w:tl2br w:val="nil"/>
              <w:tr2bl w:val="nil"/>
            </w:tcBorders>
            <w:vAlign w:val="top"/>
          </w:tcPr>
          <w:p>
            <w:pPr>
              <w:jc w:val="center"/>
              <w:rPr>
                <w:rFonts w:hint="eastAsia"/>
                <w:sz w:val="15"/>
                <w:szCs w:val="15"/>
              </w:rPr>
            </w:pPr>
            <w:r>
              <w:rPr>
                <w:rFonts w:hint="eastAsia"/>
                <w:sz w:val="15"/>
                <w:szCs w:val="15"/>
              </w:rPr>
              <w:t>89.70</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548" w:hRule="atLeast"/>
        </w:trPr>
        <w:tc>
          <w:tcPr>
            <w:tcW w:w="603" w:type="pct"/>
            <w:tcBorders>
              <w:tl2br w:val="nil"/>
              <w:tr2bl w:val="nil"/>
            </w:tcBorders>
            <w:vAlign w:val="top"/>
          </w:tcPr>
          <w:p>
            <w:pPr>
              <w:jc w:val="center"/>
              <w:rPr>
                <w:rFonts w:hint="eastAsia"/>
                <w:sz w:val="15"/>
                <w:szCs w:val="15"/>
              </w:rPr>
            </w:pPr>
            <w:r>
              <w:rPr>
                <w:rFonts w:hint="eastAsia"/>
                <w:sz w:val="15"/>
                <w:szCs w:val="15"/>
              </w:rPr>
              <w:t>L2P</w:t>
            </w:r>
          </w:p>
        </w:tc>
        <w:tc>
          <w:tcPr>
            <w:tcW w:w="861" w:type="pct"/>
            <w:tcBorders>
              <w:tl2br w:val="nil"/>
              <w:tr2bl w:val="nil"/>
            </w:tcBorders>
            <w:vAlign w:val="top"/>
          </w:tcPr>
          <w:p>
            <w:pPr>
              <w:jc w:val="center"/>
              <w:rPr>
                <w:rFonts w:hint="eastAsia"/>
                <w:sz w:val="15"/>
                <w:szCs w:val="15"/>
              </w:rPr>
            </w:pPr>
            <w:r>
              <w:rPr>
                <w:rFonts w:hint="eastAsia"/>
                <w:sz w:val="15"/>
                <w:szCs w:val="15"/>
              </w:rPr>
              <w:t>rs</w:t>
            </w:r>
          </w:p>
          <w:p>
            <w:pPr>
              <w:jc w:val="center"/>
              <w:rPr>
                <w:rFonts w:hint="eastAsia"/>
                <w:sz w:val="15"/>
                <w:szCs w:val="15"/>
              </w:rPr>
            </w:pPr>
            <w:r>
              <w:rPr>
                <w:rFonts w:hint="eastAsia"/>
                <w:sz w:val="15"/>
                <w:szCs w:val="15"/>
              </w:rPr>
              <w:t>pb</w:t>
            </w:r>
          </w:p>
        </w:tc>
        <w:tc>
          <w:tcPr>
            <w:tcW w:w="645" w:type="pct"/>
            <w:tcBorders>
              <w:tl2br w:val="nil"/>
              <w:tr2bl w:val="nil"/>
            </w:tcBorders>
            <w:vAlign w:val="top"/>
          </w:tcPr>
          <w:p>
            <w:pPr>
              <w:jc w:val="center"/>
              <w:rPr>
                <w:rFonts w:hint="eastAsia"/>
                <w:sz w:val="15"/>
                <w:szCs w:val="15"/>
              </w:rPr>
            </w:pPr>
            <w:r>
              <w:rPr>
                <w:rFonts w:hint="eastAsia"/>
                <w:sz w:val="15"/>
                <w:szCs w:val="15"/>
              </w:rPr>
              <w:t>33.10</w:t>
            </w:r>
          </w:p>
          <w:p>
            <w:pPr>
              <w:jc w:val="center"/>
              <w:rPr>
                <w:rFonts w:hint="eastAsia"/>
                <w:sz w:val="15"/>
                <w:szCs w:val="15"/>
              </w:rPr>
            </w:pPr>
            <w:r>
              <w:rPr>
                <w:rFonts w:hint="eastAsia"/>
                <w:sz w:val="15"/>
                <w:szCs w:val="15"/>
              </w:rPr>
              <w:t>42.33</w:t>
            </w:r>
          </w:p>
        </w:tc>
        <w:tc>
          <w:tcPr>
            <w:tcW w:w="685" w:type="pct"/>
            <w:tcBorders>
              <w:tl2br w:val="nil"/>
              <w:tr2bl w:val="nil"/>
            </w:tcBorders>
            <w:vAlign w:val="top"/>
          </w:tcPr>
          <w:p>
            <w:pPr>
              <w:jc w:val="center"/>
              <w:rPr>
                <w:rFonts w:hint="eastAsia"/>
                <w:sz w:val="15"/>
                <w:szCs w:val="15"/>
              </w:rPr>
            </w:pPr>
            <w:r>
              <w:rPr>
                <w:rFonts w:hint="eastAsia"/>
                <w:sz w:val="15"/>
                <w:szCs w:val="15"/>
              </w:rPr>
              <w:t>48.67</w:t>
            </w:r>
          </w:p>
          <w:p>
            <w:pPr>
              <w:jc w:val="center"/>
              <w:rPr>
                <w:rFonts w:hint="eastAsia"/>
                <w:sz w:val="15"/>
                <w:szCs w:val="15"/>
              </w:rPr>
            </w:pPr>
            <w:r>
              <w:rPr>
                <w:rFonts w:hint="eastAsia"/>
                <w:sz w:val="15"/>
                <w:szCs w:val="15"/>
              </w:rPr>
              <w:t>56.48</w:t>
            </w:r>
          </w:p>
        </w:tc>
        <w:tc>
          <w:tcPr>
            <w:tcW w:w="718" w:type="pct"/>
            <w:tcBorders>
              <w:tl2br w:val="nil"/>
              <w:tr2bl w:val="nil"/>
            </w:tcBorders>
            <w:vAlign w:val="top"/>
          </w:tcPr>
          <w:p>
            <w:pPr>
              <w:jc w:val="center"/>
              <w:rPr>
                <w:rFonts w:hint="eastAsia"/>
                <w:sz w:val="15"/>
                <w:szCs w:val="15"/>
              </w:rPr>
            </w:pPr>
            <w:r>
              <w:rPr>
                <w:rFonts w:hint="eastAsia"/>
                <w:sz w:val="15"/>
                <w:szCs w:val="15"/>
              </w:rPr>
              <w:t>57.39</w:t>
            </w:r>
          </w:p>
          <w:p>
            <w:pPr>
              <w:jc w:val="center"/>
              <w:rPr>
                <w:rFonts w:hint="eastAsia"/>
                <w:sz w:val="15"/>
                <w:szCs w:val="15"/>
              </w:rPr>
            </w:pPr>
            <w:r>
              <w:rPr>
                <w:rFonts w:hint="eastAsia"/>
                <w:sz w:val="15"/>
                <w:szCs w:val="15"/>
              </w:rPr>
              <w:t>63.67</w:t>
            </w:r>
          </w:p>
        </w:tc>
        <w:tc>
          <w:tcPr>
            <w:tcW w:w="736" w:type="pct"/>
            <w:tcBorders>
              <w:tl2br w:val="nil"/>
              <w:tr2bl w:val="nil"/>
            </w:tcBorders>
            <w:vAlign w:val="top"/>
          </w:tcPr>
          <w:p>
            <w:pPr>
              <w:jc w:val="center"/>
              <w:rPr>
                <w:rFonts w:hint="eastAsia"/>
                <w:sz w:val="15"/>
                <w:szCs w:val="15"/>
              </w:rPr>
            </w:pPr>
            <w:r>
              <w:rPr>
                <w:rFonts w:hint="eastAsia"/>
                <w:sz w:val="15"/>
                <w:szCs w:val="15"/>
              </w:rPr>
              <w:t>66.03</w:t>
            </w:r>
          </w:p>
          <w:p>
            <w:pPr>
              <w:jc w:val="center"/>
              <w:rPr>
                <w:rFonts w:hint="eastAsia"/>
                <w:sz w:val="15"/>
                <w:szCs w:val="15"/>
              </w:rPr>
            </w:pPr>
            <w:r>
              <w:rPr>
                <w:rFonts w:hint="eastAsia"/>
                <w:sz w:val="15"/>
                <w:szCs w:val="15"/>
              </w:rPr>
              <w:t>71.11</w:t>
            </w:r>
          </w:p>
        </w:tc>
        <w:tc>
          <w:tcPr>
            <w:tcW w:w="747" w:type="pct"/>
            <w:tcBorders>
              <w:tl2br w:val="nil"/>
              <w:tr2bl w:val="nil"/>
            </w:tcBorders>
            <w:vAlign w:val="top"/>
          </w:tcPr>
          <w:p>
            <w:pPr>
              <w:jc w:val="center"/>
              <w:rPr>
                <w:rFonts w:hint="eastAsia"/>
                <w:sz w:val="15"/>
                <w:szCs w:val="15"/>
              </w:rPr>
            </w:pPr>
            <w:r>
              <w:rPr>
                <w:rFonts w:hint="eastAsia"/>
                <w:sz w:val="15"/>
                <w:szCs w:val="15"/>
              </w:rPr>
              <w:t>76.70</w:t>
            </w:r>
          </w:p>
          <w:p>
            <w:pPr>
              <w:jc w:val="center"/>
              <w:rPr>
                <w:rFonts w:hint="eastAsia"/>
                <w:sz w:val="15"/>
                <w:szCs w:val="15"/>
              </w:rPr>
            </w:pPr>
            <w:r>
              <w:rPr>
                <w:rFonts w:hint="eastAsia"/>
                <w:sz w:val="15"/>
                <w:szCs w:val="15"/>
              </w:rPr>
              <w:t>80.22</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549" w:hRule="atLeast"/>
        </w:trPr>
        <w:tc>
          <w:tcPr>
            <w:tcW w:w="603" w:type="pct"/>
            <w:tcBorders>
              <w:tl2br w:val="nil"/>
              <w:tr2bl w:val="nil"/>
            </w:tcBorders>
            <w:vAlign w:val="top"/>
          </w:tcPr>
          <w:p>
            <w:pPr>
              <w:jc w:val="center"/>
              <w:rPr>
                <w:rFonts w:hint="eastAsia"/>
                <w:sz w:val="15"/>
                <w:szCs w:val="15"/>
              </w:rPr>
            </w:pPr>
            <w:r>
              <w:rPr>
                <w:rFonts w:hint="eastAsia"/>
                <w:sz w:val="15"/>
                <w:szCs w:val="15"/>
              </w:rPr>
              <w:t>V2L</w:t>
            </w:r>
          </w:p>
        </w:tc>
        <w:tc>
          <w:tcPr>
            <w:tcW w:w="861" w:type="pct"/>
            <w:tcBorders>
              <w:tl2br w:val="nil"/>
              <w:tr2bl w:val="nil"/>
            </w:tcBorders>
            <w:vAlign w:val="top"/>
          </w:tcPr>
          <w:p>
            <w:pPr>
              <w:jc w:val="center"/>
              <w:rPr>
                <w:rFonts w:hint="eastAsia"/>
                <w:sz w:val="15"/>
                <w:szCs w:val="15"/>
              </w:rPr>
            </w:pPr>
            <w:r>
              <w:rPr>
                <w:rFonts w:hint="eastAsia"/>
                <w:sz w:val="15"/>
                <w:szCs w:val="15"/>
              </w:rPr>
              <w:t>rs</w:t>
            </w:r>
          </w:p>
          <w:p>
            <w:pPr>
              <w:jc w:val="center"/>
              <w:rPr>
                <w:rFonts w:hint="eastAsia"/>
                <w:sz w:val="15"/>
                <w:szCs w:val="15"/>
              </w:rPr>
            </w:pPr>
            <w:r>
              <w:rPr>
                <w:rFonts w:hint="eastAsia"/>
                <w:sz w:val="15"/>
                <w:szCs w:val="15"/>
              </w:rPr>
              <w:t>pb</w:t>
            </w:r>
          </w:p>
        </w:tc>
        <w:tc>
          <w:tcPr>
            <w:tcW w:w="645" w:type="pct"/>
            <w:tcBorders>
              <w:tl2br w:val="nil"/>
              <w:tr2bl w:val="nil"/>
            </w:tcBorders>
            <w:vAlign w:val="top"/>
          </w:tcPr>
          <w:p>
            <w:pPr>
              <w:jc w:val="center"/>
              <w:rPr>
                <w:rFonts w:hint="eastAsia"/>
                <w:sz w:val="15"/>
                <w:szCs w:val="15"/>
              </w:rPr>
            </w:pPr>
            <w:r>
              <w:rPr>
                <w:rFonts w:hint="eastAsia"/>
                <w:sz w:val="15"/>
                <w:szCs w:val="15"/>
              </w:rPr>
              <w:t>37.66</w:t>
            </w:r>
          </w:p>
          <w:p>
            <w:pPr>
              <w:jc w:val="center"/>
              <w:rPr>
                <w:rFonts w:hint="eastAsia"/>
                <w:sz w:val="15"/>
                <w:szCs w:val="15"/>
              </w:rPr>
            </w:pPr>
            <w:r>
              <w:rPr>
                <w:rFonts w:hint="eastAsia"/>
                <w:sz w:val="15"/>
                <w:szCs w:val="15"/>
              </w:rPr>
              <w:t>45.95</w:t>
            </w:r>
          </w:p>
        </w:tc>
        <w:tc>
          <w:tcPr>
            <w:tcW w:w="685" w:type="pct"/>
            <w:tcBorders>
              <w:tl2br w:val="nil"/>
              <w:tr2bl w:val="nil"/>
            </w:tcBorders>
            <w:vAlign w:val="top"/>
          </w:tcPr>
          <w:p>
            <w:pPr>
              <w:jc w:val="center"/>
              <w:rPr>
                <w:rFonts w:hint="eastAsia"/>
                <w:sz w:val="15"/>
                <w:szCs w:val="15"/>
              </w:rPr>
            </w:pPr>
            <w:r>
              <w:rPr>
                <w:rFonts w:hint="eastAsia"/>
                <w:sz w:val="15"/>
                <w:szCs w:val="15"/>
              </w:rPr>
              <w:t>56.10</w:t>
            </w:r>
          </w:p>
          <w:p>
            <w:pPr>
              <w:jc w:val="center"/>
              <w:rPr>
                <w:rFonts w:hint="eastAsia"/>
                <w:sz w:val="15"/>
                <w:szCs w:val="15"/>
              </w:rPr>
            </w:pPr>
            <w:r>
              <w:rPr>
                <w:rFonts w:hint="eastAsia"/>
                <w:sz w:val="15"/>
                <w:szCs w:val="15"/>
              </w:rPr>
              <w:t>63.63</w:t>
            </w:r>
          </w:p>
        </w:tc>
        <w:tc>
          <w:tcPr>
            <w:tcW w:w="718" w:type="pct"/>
            <w:tcBorders>
              <w:tl2br w:val="nil"/>
              <w:tr2bl w:val="nil"/>
            </w:tcBorders>
            <w:vAlign w:val="top"/>
          </w:tcPr>
          <w:p>
            <w:pPr>
              <w:jc w:val="center"/>
              <w:rPr>
                <w:rFonts w:hint="eastAsia"/>
                <w:sz w:val="15"/>
                <w:szCs w:val="15"/>
              </w:rPr>
            </w:pPr>
            <w:r>
              <w:rPr>
                <w:rFonts w:hint="eastAsia"/>
                <w:sz w:val="15"/>
                <w:szCs w:val="15"/>
              </w:rPr>
              <w:t>64.28</w:t>
            </w:r>
          </w:p>
          <w:p>
            <w:pPr>
              <w:jc w:val="center"/>
              <w:rPr>
                <w:rFonts w:hint="eastAsia"/>
                <w:sz w:val="15"/>
                <w:szCs w:val="15"/>
              </w:rPr>
            </w:pPr>
            <w:r>
              <w:rPr>
                <w:rFonts w:hint="eastAsia"/>
                <w:sz w:val="15"/>
                <w:szCs w:val="15"/>
              </w:rPr>
              <w:t>70.64</w:t>
            </w:r>
          </w:p>
        </w:tc>
        <w:tc>
          <w:tcPr>
            <w:tcW w:w="736" w:type="pct"/>
            <w:tcBorders>
              <w:tl2br w:val="nil"/>
              <w:tr2bl w:val="nil"/>
            </w:tcBorders>
            <w:vAlign w:val="top"/>
          </w:tcPr>
          <w:p>
            <w:pPr>
              <w:jc w:val="center"/>
              <w:rPr>
                <w:rFonts w:hint="eastAsia"/>
                <w:sz w:val="15"/>
                <w:szCs w:val="15"/>
              </w:rPr>
            </w:pPr>
            <w:r>
              <w:rPr>
                <w:rFonts w:hint="eastAsia"/>
                <w:sz w:val="15"/>
                <w:szCs w:val="15"/>
              </w:rPr>
              <w:t>72.30</w:t>
            </w:r>
          </w:p>
          <w:p>
            <w:pPr>
              <w:jc w:val="center"/>
              <w:rPr>
                <w:rFonts w:hint="eastAsia"/>
                <w:sz w:val="15"/>
                <w:szCs w:val="15"/>
              </w:rPr>
            </w:pPr>
            <w:r>
              <w:rPr>
                <w:rFonts w:hint="eastAsia"/>
                <w:sz w:val="15"/>
                <w:szCs w:val="15"/>
              </w:rPr>
              <w:t>77.50</w:t>
            </w:r>
          </w:p>
        </w:tc>
        <w:tc>
          <w:tcPr>
            <w:tcW w:w="747" w:type="pct"/>
            <w:tcBorders>
              <w:tl2br w:val="nil"/>
              <w:tr2bl w:val="nil"/>
            </w:tcBorders>
            <w:vAlign w:val="top"/>
          </w:tcPr>
          <w:p>
            <w:pPr>
              <w:jc w:val="center"/>
              <w:rPr>
                <w:rFonts w:hint="eastAsia"/>
                <w:sz w:val="15"/>
                <w:szCs w:val="15"/>
              </w:rPr>
            </w:pPr>
            <w:r>
              <w:rPr>
                <w:rFonts w:hint="eastAsia"/>
                <w:sz w:val="15"/>
                <w:szCs w:val="15"/>
              </w:rPr>
              <w:t>82.04</w:t>
            </w:r>
          </w:p>
          <w:p>
            <w:pPr>
              <w:jc w:val="center"/>
              <w:rPr>
                <w:rFonts w:hint="eastAsia"/>
                <w:sz w:val="15"/>
                <w:szCs w:val="15"/>
              </w:rPr>
            </w:pPr>
            <w:r>
              <w:rPr>
                <w:rFonts w:hint="eastAsia"/>
                <w:sz w:val="15"/>
                <w:szCs w:val="15"/>
              </w:rPr>
              <w:t>85.47</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315" w:hRule="atLeast"/>
        </w:trPr>
        <w:tc>
          <w:tcPr>
            <w:tcW w:w="603" w:type="pct"/>
            <w:vMerge w:val="restart"/>
            <w:tcBorders>
              <w:tl2br w:val="nil"/>
              <w:tr2bl w:val="nil"/>
            </w:tcBorders>
            <w:vAlign w:val="top"/>
          </w:tcPr>
          <w:p>
            <w:pPr>
              <w:jc w:val="center"/>
              <w:rPr>
                <w:rFonts w:hint="eastAsia"/>
                <w:sz w:val="15"/>
                <w:szCs w:val="15"/>
              </w:rPr>
            </w:pPr>
            <w:r>
              <w:rPr>
                <w:rFonts w:hint="eastAsia"/>
                <w:sz w:val="15"/>
                <w:szCs w:val="15"/>
              </w:rPr>
              <w:t>L2V</w:t>
            </w:r>
          </w:p>
        </w:tc>
        <w:tc>
          <w:tcPr>
            <w:tcW w:w="861" w:type="pct"/>
            <w:tcBorders>
              <w:tl2br w:val="nil"/>
              <w:tr2bl w:val="nil"/>
            </w:tcBorders>
            <w:vAlign w:val="top"/>
          </w:tcPr>
          <w:p>
            <w:pPr>
              <w:jc w:val="center"/>
              <w:rPr>
                <w:rFonts w:hint="eastAsia"/>
                <w:sz w:val="15"/>
                <w:szCs w:val="15"/>
              </w:rPr>
            </w:pPr>
            <w:r>
              <w:rPr>
                <w:rFonts w:hint="eastAsia"/>
                <w:sz w:val="15"/>
                <w:szCs w:val="15"/>
              </w:rPr>
              <w:t>rs</w:t>
            </w:r>
          </w:p>
        </w:tc>
        <w:tc>
          <w:tcPr>
            <w:tcW w:w="645" w:type="pct"/>
            <w:tcBorders>
              <w:tl2br w:val="nil"/>
              <w:tr2bl w:val="nil"/>
            </w:tcBorders>
            <w:vAlign w:val="top"/>
          </w:tcPr>
          <w:p>
            <w:pPr>
              <w:jc w:val="center"/>
              <w:rPr>
                <w:rFonts w:hint="eastAsia"/>
                <w:sz w:val="15"/>
                <w:szCs w:val="15"/>
              </w:rPr>
            </w:pPr>
            <w:r>
              <w:rPr>
                <w:rFonts w:hint="eastAsia"/>
                <w:sz w:val="15"/>
                <w:szCs w:val="15"/>
              </w:rPr>
              <w:t>38.31</w:t>
            </w:r>
          </w:p>
        </w:tc>
        <w:tc>
          <w:tcPr>
            <w:tcW w:w="685" w:type="pct"/>
            <w:tcBorders>
              <w:tl2br w:val="nil"/>
              <w:tr2bl w:val="nil"/>
            </w:tcBorders>
            <w:vAlign w:val="top"/>
          </w:tcPr>
          <w:p>
            <w:pPr>
              <w:jc w:val="center"/>
              <w:rPr>
                <w:rFonts w:hint="eastAsia"/>
                <w:sz w:val="15"/>
                <w:szCs w:val="15"/>
              </w:rPr>
            </w:pPr>
            <w:r>
              <w:rPr>
                <w:rFonts w:hint="eastAsia"/>
                <w:sz w:val="15"/>
                <w:szCs w:val="15"/>
              </w:rPr>
              <w:t>60.06</w:t>
            </w:r>
          </w:p>
        </w:tc>
        <w:tc>
          <w:tcPr>
            <w:tcW w:w="718" w:type="pct"/>
            <w:tcBorders>
              <w:tl2br w:val="nil"/>
              <w:tr2bl w:val="nil"/>
            </w:tcBorders>
            <w:vAlign w:val="top"/>
          </w:tcPr>
          <w:p>
            <w:pPr>
              <w:jc w:val="center"/>
              <w:rPr>
                <w:rFonts w:hint="eastAsia"/>
                <w:sz w:val="15"/>
                <w:szCs w:val="15"/>
              </w:rPr>
            </w:pPr>
            <w:r>
              <w:rPr>
                <w:rFonts w:hint="eastAsia"/>
                <w:sz w:val="15"/>
                <w:szCs w:val="15"/>
              </w:rPr>
              <w:t>68.99</w:t>
            </w:r>
          </w:p>
        </w:tc>
        <w:tc>
          <w:tcPr>
            <w:tcW w:w="736" w:type="pct"/>
            <w:tcBorders>
              <w:tl2br w:val="nil"/>
              <w:tr2bl w:val="nil"/>
            </w:tcBorders>
            <w:vAlign w:val="top"/>
          </w:tcPr>
          <w:p>
            <w:pPr>
              <w:jc w:val="center"/>
              <w:rPr>
                <w:rFonts w:hint="eastAsia"/>
                <w:sz w:val="15"/>
                <w:szCs w:val="15"/>
              </w:rPr>
            </w:pPr>
            <w:r>
              <w:rPr>
                <w:rFonts w:hint="eastAsia"/>
                <w:sz w:val="15"/>
                <w:szCs w:val="15"/>
              </w:rPr>
              <w:t>77.40</w:t>
            </w:r>
          </w:p>
        </w:tc>
        <w:tc>
          <w:tcPr>
            <w:tcW w:w="747" w:type="pct"/>
            <w:tcBorders>
              <w:tl2br w:val="nil"/>
              <w:tr2bl w:val="nil"/>
            </w:tcBorders>
            <w:vAlign w:val="top"/>
          </w:tcPr>
          <w:p>
            <w:pPr>
              <w:jc w:val="center"/>
              <w:rPr>
                <w:rFonts w:hint="eastAsia"/>
                <w:sz w:val="15"/>
                <w:szCs w:val="15"/>
              </w:rPr>
            </w:pPr>
            <w:r>
              <w:rPr>
                <w:rFonts w:hint="eastAsia"/>
                <w:sz w:val="15"/>
                <w:szCs w:val="15"/>
              </w:rPr>
              <w:t>86.41</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315" w:hRule="atLeast"/>
        </w:trPr>
        <w:tc>
          <w:tcPr>
            <w:tcW w:w="603" w:type="pct"/>
            <w:vMerge w:val="continue"/>
            <w:tcBorders>
              <w:tl2br w:val="nil"/>
              <w:tr2bl w:val="nil"/>
            </w:tcBorders>
            <w:vAlign w:val="top"/>
          </w:tcPr>
          <w:p>
            <w:pPr>
              <w:jc w:val="center"/>
              <w:rPr>
                <w:rFonts w:hint="eastAsia"/>
                <w:sz w:val="15"/>
                <w:szCs w:val="15"/>
              </w:rPr>
            </w:pPr>
          </w:p>
        </w:tc>
        <w:tc>
          <w:tcPr>
            <w:tcW w:w="861" w:type="pct"/>
            <w:tcBorders>
              <w:tl2br w:val="nil"/>
              <w:tr2bl w:val="nil"/>
            </w:tcBorders>
            <w:vAlign w:val="top"/>
          </w:tcPr>
          <w:p>
            <w:pPr>
              <w:jc w:val="center"/>
              <w:rPr>
                <w:rFonts w:hint="eastAsia"/>
                <w:sz w:val="15"/>
                <w:szCs w:val="15"/>
              </w:rPr>
            </w:pPr>
            <w:r>
              <w:rPr>
                <w:rFonts w:hint="eastAsia"/>
                <w:sz w:val="15"/>
                <w:szCs w:val="15"/>
              </w:rPr>
              <w:t>pb</w:t>
            </w:r>
          </w:p>
        </w:tc>
        <w:tc>
          <w:tcPr>
            <w:tcW w:w="645" w:type="pct"/>
            <w:tcBorders>
              <w:tl2br w:val="nil"/>
              <w:tr2bl w:val="nil"/>
            </w:tcBorders>
            <w:vAlign w:val="top"/>
          </w:tcPr>
          <w:p>
            <w:pPr>
              <w:jc w:val="center"/>
              <w:rPr>
                <w:rFonts w:hint="eastAsia"/>
                <w:sz w:val="15"/>
                <w:szCs w:val="15"/>
              </w:rPr>
            </w:pPr>
            <w:r>
              <w:rPr>
                <w:rFonts w:hint="eastAsia"/>
                <w:sz w:val="15"/>
                <w:szCs w:val="15"/>
              </w:rPr>
              <w:t>48.28</w:t>
            </w:r>
          </w:p>
        </w:tc>
        <w:tc>
          <w:tcPr>
            <w:tcW w:w="685" w:type="pct"/>
            <w:tcBorders>
              <w:tl2br w:val="nil"/>
              <w:tr2bl w:val="nil"/>
            </w:tcBorders>
            <w:vAlign w:val="top"/>
          </w:tcPr>
          <w:p>
            <w:pPr>
              <w:jc w:val="center"/>
              <w:rPr>
                <w:rFonts w:hint="eastAsia"/>
                <w:sz w:val="15"/>
                <w:szCs w:val="15"/>
              </w:rPr>
            </w:pPr>
            <w:r>
              <w:rPr>
                <w:rFonts w:hint="eastAsia"/>
                <w:sz w:val="15"/>
                <w:szCs w:val="15"/>
              </w:rPr>
              <w:t>67.20</w:t>
            </w:r>
          </w:p>
        </w:tc>
        <w:tc>
          <w:tcPr>
            <w:tcW w:w="718" w:type="pct"/>
            <w:tcBorders>
              <w:tl2br w:val="nil"/>
              <w:tr2bl w:val="nil"/>
            </w:tcBorders>
            <w:vAlign w:val="top"/>
          </w:tcPr>
          <w:p>
            <w:pPr>
              <w:jc w:val="center"/>
              <w:rPr>
                <w:rFonts w:hint="eastAsia"/>
                <w:sz w:val="15"/>
                <w:szCs w:val="15"/>
              </w:rPr>
            </w:pPr>
            <w:r>
              <w:rPr>
                <w:rFonts w:hint="eastAsia"/>
                <w:sz w:val="15"/>
                <w:szCs w:val="15"/>
              </w:rPr>
              <w:t>74.70</w:t>
            </w:r>
          </w:p>
        </w:tc>
        <w:tc>
          <w:tcPr>
            <w:tcW w:w="736" w:type="pct"/>
            <w:tcBorders>
              <w:tl2br w:val="nil"/>
              <w:tr2bl w:val="nil"/>
            </w:tcBorders>
            <w:vAlign w:val="top"/>
          </w:tcPr>
          <w:p>
            <w:pPr>
              <w:jc w:val="center"/>
              <w:rPr>
                <w:rFonts w:hint="eastAsia"/>
                <w:sz w:val="15"/>
                <w:szCs w:val="15"/>
              </w:rPr>
            </w:pPr>
            <w:r>
              <w:rPr>
                <w:rFonts w:hint="eastAsia"/>
                <w:sz w:val="15"/>
                <w:szCs w:val="15"/>
              </w:rPr>
              <w:t>81.52</w:t>
            </w:r>
          </w:p>
        </w:tc>
        <w:tc>
          <w:tcPr>
            <w:tcW w:w="747" w:type="pct"/>
            <w:tcBorders>
              <w:tl2br w:val="nil"/>
              <w:tr2bl w:val="nil"/>
            </w:tcBorders>
            <w:vAlign w:val="top"/>
          </w:tcPr>
          <w:p>
            <w:pPr>
              <w:jc w:val="center"/>
              <w:rPr>
                <w:rFonts w:hint="eastAsia"/>
                <w:sz w:val="15"/>
                <w:szCs w:val="15"/>
              </w:rPr>
            </w:pPr>
            <w:r>
              <w:rPr>
                <w:rFonts w:hint="eastAsia"/>
                <w:sz w:val="15"/>
                <w:szCs w:val="15"/>
              </w:rPr>
              <w:t>89.15</w:t>
            </w:r>
          </w:p>
        </w:tc>
      </w:tr>
    </w:tbl>
    <w:p>
      <w:pPr>
        <w:rPr>
          <w:rFonts w:hint="eastAsia" w:cs="宋体" w:asciiTheme="minorEastAsia" w:hAnsiTheme="minorEastAsia" w:eastAsiaTheme="minorEastAsia"/>
          <w:sz w:val="21"/>
          <w:szCs w:val="21"/>
        </w:rPr>
      </w:pPr>
    </w:p>
    <w:p>
      <w:pPr>
        <w:ind w:firstLine="419"/>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此外，图5显示了一些检索结果。值得注意的是，大多数假阳性结果与查询属于同一类别，并且具有相似的视觉特征</w:t>
      </w:r>
    </w:p>
    <w:p>
      <w:pPr>
        <w:ind w:firstLine="419"/>
      </w:pPr>
      <w:r>
        <w:drawing>
          <wp:inline distT="0" distB="0" distL="114300" distR="114300">
            <wp:extent cx="2637790" cy="3351530"/>
            <wp:effectExtent l="0" t="0" r="3810" b="127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tretch>
                      <a:fillRect/>
                    </a:stretch>
                  </pic:blipFill>
                  <pic:spPr>
                    <a:xfrm>
                      <a:off x="0" y="0"/>
                      <a:ext cx="2637790" cy="3351530"/>
                    </a:xfrm>
                    <a:prstGeom prst="rect">
                      <a:avLst/>
                    </a:prstGeom>
                    <a:noFill/>
                    <a:ln>
                      <a:noFill/>
                    </a:ln>
                  </pic:spPr>
                </pic:pic>
              </a:graphicData>
            </a:graphic>
          </wp:inline>
        </w:drawing>
      </w:r>
    </w:p>
    <w:p>
      <w:pPr>
        <w:pStyle w:val="12"/>
        <w:ind w:firstLine="419"/>
        <w:jc w:val="center"/>
        <w:rPr>
          <w:rFonts w:hint="eastAsia" w:cs="宋体" w:asciiTheme="minorEastAsia" w:hAnsiTheme="minorEastAsia" w:eastAsiaTheme="minorEastAsia"/>
          <w:sz w:val="21"/>
          <w:szCs w:val="21"/>
        </w:rPr>
      </w:pPr>
      <w:r>
        <w:rPr>
          <w:rFonts w:hint="eastAsia" w:asciiTheme="minorEastAsia" w:hAnsiTheme="minorEastAsia" w:eastAsiaTheme="minorEastAsia" w:cstheme="minorEastAsia"/>
          <w:sz w:val="18"/>
          <w:szCs w:val="16"/>
        </w:rPr>
        <w:t xml:space="preserve">图 </w:t>
      </w:r>
      <w:r>
        <w:rPr>
          <w:rFonts w:hint="eastAsia" w:asciiTheme="minorEastAsia" w:hAnsiTheme="minorEastAsia" w:eastAsiaTheme="minorEastAsia" w:cstheme="minorEastAsia"/>
          <w:sz w:val="18"/>
          <w:szCs w:val="16"/>
        </w:rPr>
        <w:fldChar w:fldCharType="begin"/>
      </w:r>
      <w:r>
        <w:rPr>
          <w:rFonts w:hint="eastAsia" w:asciiTheme="minorEastAsia" w:hAnsiTheme="minorEastAsia" w:eastAsiaTheme="minorEastAsia" w:cstheme="minorEastAsia"/>
          <w:sz w:val="18"/>
          <w:szCs w:val="16"/>
        </w:rPr>
        <w:instrText xml:space="preserve"> SEQ 图 \* ARABIC </w:instrText>
      </w:r>
      <w:r>
        <w:rPr>
          <w:rFonts w:hint="eastAsia" w:asciiTheme="minorEastAsia" w:hAnsiTheme="minorEastAsia" w:eastAsiaTheme="minorEastAsia" w:cstheme="minorEastAsia"/>
          <w:sz w:val="18"/>
          <w:szCs w:val="16"/>
        </w:rPr>
        <w:fldChar w:fldCharType="separate"/>
      </w:r>
      <w:r>
        <w:rPr>
          <w:rFonts w:hint="eastAsia" w:asciiTheme="minorEastAsia" w:hAnsiTheme="minorEastAsia" w:eastAsiaTheme="minorEastAsia" w:cstheme="minorEastAsia"/>
          <w:sz w:val="18"/>
          <w:szCs w:val="16"/>
        </w:rPr>
        <w:t>5</w:t>
      </w:r>
      <w:r>
        <w:rPr>
          <w:rFonts w:hint="eastAsia" w:asciiTheme="minorEastAsia" w:hAnsiTheme="minorEastAsia" w:eastAsiaTheme="minorEastAsia" w:cstheme="minorEastAsia"/>
          <w:sz w:val="18"/>
          <w:szCs w:val="16"/>
        </w:rPr>
        <w:fldChar w:fldCharType="end"/>
      </w:r>
      <w:r>
        <w:rPr>
          <w:rFonts w:hint="eastAsia" w:asciiTheme="minorEastAsia" w:hAnsiTheme="minorEastAsia" w:eastAsiaTheme="minorEastAsia" w:cstheme="minorEastAsia"/>
          <w:sz w:val="18"/>
          <w:szCs w:val="16"/>
          <w:lang w:val="en-US" w:eastAsia="zh-CN"/>
        </w:rPr>
        <w:t xml:space="preserve"> 检索结果的可视化，其中红框表示假阳性</w:t>
      </w:r>
    </w:p>
    <w:p>
      <w:pPr>
        <w:pStyle w:val="2"/>
        <w:bidi w:val="0"/>
      </w:pPr>
      <w:r>
        <w:rPr>
          <w:rFonts w:hint="eastAsia"/>
          <w:lang w:val="en-US" w:eastAsia="zh-CN"/>
        </w:rPr>
        <w:t>总结</w:t>
      </w:r>
    </w:p>
    <w:p>
      <w:pPr>
        <w:ind w:firstLine="419"/>
        <w:rPr>
          <w:sz w:val="21"/>
          <w:szCs w:val="21"/>
          <w:bdr w:val="single" w:color="FF0000" w:sz="4" w:space="0"/>
        </w:rPr>
      </w:pPr>
      <w:r>
        <w:rPr>
          <w:rFonts w:hint="eastAsia" w:cs="宋体" w:asciiTheme="minorEastAsia" w:hAnsiTheme="minorEastAsia" w:eastAsiaTheme="minorEastAsia"/>
          <w:sz w:val="21"/>
          <w:szCs w:val="21"/>
        </w:rPr>
        <w:t>为了创建统一的跨领域产品表示，我们引入了一个大型电子商务跨领域数据集，该数据集包括三个领域(产品页面、短视频和直播)和两种模式(视觉和语言)。它是第一个包含电子商务场景中各个领域的数据集。我们提出了我们的COPE作为基准，并在跨域检索和小样本分类任务上对其进行了评估。最后，我们对结果进行了分析和可视化。该任务适用于大多数电子商务平台，数据集和提出的框架都将激发跨领域产品表示的研究。</w:t>
      </w:r>
      <w:r>
        <w:rPr>
          <w:rFonts w:hint="eastAsia"/>
          <w:color w:val="0000FF"/>
          <w:sz w:val="21"/>
          <w:szCs w:val="21"/>
        </w:rPr>
        <w:t xml:space="preserve">                                 </w:t>
      </w:r>
    </w:p>
    <w:p>
      <w:pPr>
        <w:tabs>
          <w:tab w:val="left" w:pos="2880"/>
        </w:tabs>
        <w:adjustRightInd w:val="0"/>
        <w:snapToGrid w:val="0"/>
        <w:spacing w:before="312" w:beforeLines="100" w:after="312" w:afterLines="100" w:line="320" w:lineRule="atLeast"/>
        <w:jc w:val="center"/>
        <w:outlineLvl w:val="0"/>
        <w:rPr>
          <w:szCs w:val="18"/>
        </w:rPr>
      </w:pPr>
      <w:r>
        <w:rPr>
          <w:rFonts w:hint="eastAsia" w:ascii="黑体" w:eastAsia="黑体"/>
          <w:bCs/>
          <w:sz w:val="21"/>
          <w:szCs w:val="21"/>
        </w:rPr>
        <w:t>参 考 文 献</w:t>
      </w:r>
    </w:p>
    <w:p>
      <w:pPr>
        <w:pStyle w:val="98"/>
        <w:numPr>
          <w:ilvl w:val="0"/>
          <w:numId w:val="3"/>
        </w:numPr>
        <w:tabs>
          <w:tab w:val="right" w:pos="4500"/>
        </w:tabs>
        <w:autoSpaceDE w:val="0"/>
        <w:adjustRightInd w:val="0"/>
        <w:snapToGrid w:val="0"/>
        <w:spacing w:line="280" w:lineRule="atLeast"/>
        <w:ind w:left="620" w:leftChars="0" w:firstLineChars="0"/>
        <w:jc w:val="left"/>
        <w:rPr>
          <w:rFonts w:hint="eastAsia"/>
          <w:sz w:val="15"/>
          <w:szCs w:val="15"/>
        </w:rPr>
      </w:pPr>
      <w:r>
        <w:rPr>
          <w:rFonts w:hint="eastAsia"/>
          <w:sz w:val="15"/>
          <w:szCs w:val="15"/>
        </w:rPr>
        <w:t xml:space="preserve"> Xiang An, Xuhan Zhu, Yuan Gao, Yang Xiao, Yongle Zhao,</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Ziyong Feng, Lan Wu, Bin Qin, Ming Zhang, Debing Zhang,</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et al. Partial fc: Training 10 million identities on a single</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machine. In ICCV, pages 1445–1449, 2021. 8</w:t>
      </w:r>
      <w:bookmarkStart w:id="0" w:name="_GoBack"/>
      <w:bookmarkEnd w:id="0"/>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 xml:space="preserve"> Delong Chen, Fan Liu, Xiaoyu Du, Ruizhuo Gao, and Feng</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Xu. Mep-3m: A large-scale multi-modal e-commerce products dataset. In IJCAI, volume 21, 2021. 2,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Ting Chen, Simon Kornblith, Mohammad Norouzi, and Geoffrey Hinton. A simple framework for contrastive learning</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of visual representations. In International conference on machine learning, pages 1597–1607. PMLR, 2020. 6</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Yen-Chun Chen, Linjie Li, Licheng Yu, Ahmed El Kholy,</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Faisal Ahmed, Zhe Gan, Yu Cheng, and Jingjing Liu. Uniter:</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Universal image-text representation learning. In ECCV,</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pages 104–120. Springer, 2020.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 xml:space="preserve"> Patrick John Chia, Giuseppe Attanasio, Federico Bianchi,</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Silvia Terragni, Ana Rita Magalhaes, Diogo Goncalves, Ciro ˜</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Greco, and Jacopo Tagliabue. Fashionclip: Connecting language and images for product representations. arXiv preprint</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arXiv:2204.03972, 2022. 6,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Charles Corbiere, Hedi Ben-Younes, Alexandre Rame, and ´</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Charles Ollion. Leveraging weakly annotated data for fashion image retrieval and label prediction. In ICCV, pages</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2268–2274, 2017. 2,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Yiming Cui, Wanxiang Che, Ting Liu, Bing Qin, and Ziqing</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Yang. Pre-training with whole word masking for chinese</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bert. IEEE/ACM Transactions on Audio, Speech, and Language Processing, 29:3504–3514, 2021. 5, 6</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 xml:space="preserve"> Xiao Dong, Xunlin Zhan, Yangxin Wu, Yunchao Wei,</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Michael C Kampffmeyer, Xiaoyong Wei, Minlong Lu,</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Yaowei Wang, and Xiaodan Liang. M5product: Selfharmonized contrastive learning for e-commercial multimodal pretraining. In CVPR, pages 21252–21262, 2022. 2,</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3, 7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Alexey Dosovitskiy, Lucas Beyer, Alexander Kolesnikov,</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Dirk Weissenborn, Xiaohua Zhai, Thomas Unterthiner,</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Mostafa Dehghani, Matthias Minderer, Georg Heigold, Sylvain Gelly, et al. An image is worth 16x16 words: Transformers for image recognition at scale. arXiv preprint</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arXiv:2010.11929, 2020. 5</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Tianyu Gao, Xingcheng Yao, and Danqi Chen. Simcse: Simple contrastive learning of sentence embeddings. In EMNLP,</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pages 6894–6910, 2021. 6</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Marco Godi, Christian Joppi, Geri Skenderi, and Marco</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Cristani. Movingfashion: a benchmark for the video-to-shop</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challenge. In WACV, pages 1678–1686, 2022. 2,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Brendan Kolisnik, Isaac Hogan, and Farhana Zulkernine.</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Condition-cnn: A hierarchical multi-label fashion image</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classification model. Expert Systems with Applications,</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182:115195, 2021. 2</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 xml:space="preserve"> Liunian Harold Li, Mark Yatskar, Da Yin, Cho-Jui Hsieh,</w:t>
      </w:r>
    </w:p>
    <w:p>
      <w:pPr>
        <w:pStyle w:val="98"/>
        <w:numPr>
          <w:numId w:val="0"/>
        </w:numPr>
        <w:tabs>
          <w:tab w:val="right" w:pos="4500"/>
        </w:tabs>
        <w:autoSpaceDE w:val="0"/>
        <w:adjustRightInd w:val="0"/>
        <w:snapToGrid w:val="0"/>
        <w:spacing w:line="280" w:lineRule="atLeast"/>
        <w:ind w:left="180" w:leftChars="0"/>
        <w:jc w:val="left"/>
        <w:rPr>
          <w:rFonts w:hint="eastAsia"/>
          <w:sz w:val="15"/>
          <w:szCs w:val="15"/>
        </w:rPr>
      </w:pPr>
      <w:r>
        <w:rPr>
          <w:rFonts w:hint="eastAsia"/>
          <w:sz w:val="15"/>
          <w:szCs w:val="15"/>
        </w:rPr>
        <w:t>and Kai-Wei Chang. Visualbert: A simple and performant baseline for vision and language. arXiv preprint</w:t>
      </w:r>
    </w:p>
    <w:p>
      <w:pPr>
        <w:pStyle w:val="98"/>
        <w:numPr>
          <w:numId w:val="0"/>
        </w:numPr>
        <w:tabs>
          <w:tab w:val="right" w:pos="4500"/>
        </w:tabs>
        <w:autoSpaceDE w:val="0"/>
        <w:adjustRightInd w:val="0"/>
        <w:snapToGrid w:val="0"/>
        <w:spacing w:line="280" w:lineRule="atLeast"/>
        <w:ind w:left="180" w:leftChars="0"/>
        <w:jc w:val="left"/>
        <w:rPr>
          <w:sz w:val="15"/>
          <w:szCs w:val="15"/>
        </w:rPr>
      </w:pPr>
      <w:r>
        <w:rPr>
          <w:rFonts w:hint="eastAsia"/>
          <w:sz w:val="15"/>
          <w:szCs w:val="15"/>
        </w:rPr>
        <w:t>arXiv:1908.03557, 2019.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Huidong Liu, Shaoyuan Xu, Jinmiao Fu, Yang Liu, NingXie, Chien-Chih Wang, Bryan Wang, and Yi Sun. Cmaclip: Cross-modality attention clip for image-text classification. arXiv preprint arXiv:2112.03562, 2021. 2</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Yinhan Liu, Myle Ott, Naman Goyal, Jingfei Du, Mandar</w:t>
      </w:r>
    </w:p>
    <w:p>
      <w:pPr>
        <w:autoSpaceDE w:val="0"/>
        <w:jc w:val="left"/>
        <w:rPr>
          <w:rFonts w:hint="eastAsia"/>
          <w:sz w:val="15"/>
          <w:szCs w:val="15"/>
        </w:rPr>
      </w:pPr>
      <w:r>
        <w:rPr>
          <w:rFonts w:hint="eastAsia"/>
          <w:sz w:val="15"/>
          <w:szCs w:val="15"/>
        </w:rPr>
        <w:t>Joshi, Danqi Chen, Omer Levy, Mike Lewis, Luke Zettlemoyer, and Veselin Stoyanov. Roberta: A robustly optimized</w:t>
      </w:r>
    </w:p>
    <w:p>
      <w:pPr>
        <w:autoSpaceDE w:val="0"/>
        <w:jc w:val="left"/>
        <w:rPr>
          <w:rFonts w:hint="eastAsia"/>
          <w:sz w:val="15"/>
          <w:szCs w:val="15"/>
        </w:rPr>
      </w:pPr>
      <w:r>
        <w:rPr>
          <w:rFonts w:hint="eastAsia"/>
          <w:sz w:val="15"/>
          <w:szCs w:val="15"/>
        </w:rPr>
        <w:t>bert pretraining approach. arXiv preprint arXiv:1907.11692,</w:t>
      </w:r>
    </w:p>
    <w:p>
      <w:pPr>
        <w:autoSpaceDE w:val="0"/>
        <w:jc w:val="left"/>
        <w:rPr>
          <w:rFonts w:hint="eastAsia"/>
          <w:sz w:val="15"/>
          <w:szCs w:val="15"/>
        </w:rPr>
      </w:pPr>
      <w:r>
        <w:rPr>
          <w:rFonts w:hint="eastAsia"/>
          <w:sz w:val="15"/>
          <w:szCs w:val="15"/>
        </w:rPr>
        <w:t>2019. 5, 6</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Yuqi Liu, Pengfei Xiong, Luhui Xu, Shengming Cao, and</w:t>
      </w:r>
    </w:p>
    <w:p>
      <w:pPr>
        <w:autoSpaceDE w:val="0"/>
        <w:jc w:val="left"/>
        <w:rPr>
          <w:rFonts w:hint="eastAsia"/>
          <w:sz w:val="15"/>
          <w:szCs w:val="15"/>
        </w:rPr>
      </w:pPr>
      <w:r>
        <w:rPr>
          <w:rFonts w:hint="eastAsia"/>
          <w:sz w:val="15"/>
          <w:szCs w:val="15"/>
        </w:rPr>
        <w:t>Qin Jin. Ts2-net: Token shift and selection transformer</w:t>
      </w:r>
    </w:p>
    <w:p>
      <w:pPr>
        <w:autoSpaceDE w:val="0"/>
        <w:jc w:val="left"/>
        <w:rPr>
          <w:rFonts w:hint="eastAsia"/>
          <w:sz w:val="15"/>
          <w:szCs w:val="15"/>
        </w:rPr>
      </w:pPr>
      <w:r>
        <w:rPr>
          <w:rFonts w:hint="eastAsia"/>
          <w:sz w:val="15"/>
          <w:szCs w:val="15"/>
        </w:rPr>
        <w:t>for text-video retrieval. In ECCV, pages 319–335. Springer,</w:t>
      </w:r>
    </w:p>
    <w:p>
      <w:pPr>
        <w:autoSpaceDE w:val="0"/>
        <w:jc w:val="left"/>
        <w:rPr>
          <w:rFonts w:hint="eastAsia"/>
          <w:sz w:val="15"/>
          <w:szCs w:val="15"/>
        </w:rPr>
      </w:pPr>
      <w:r>
        <w:rPr>
          <w:rFonts w:hint="eastAsia"/>
          <w:sz w:val="15"/>
          <w:szCs w:val="15"/>
        </w:rPr>
        <w:t>2022. 6, 7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Ilya Loshchilov and Frank Hutter. Decoupled weight decay</w:t>
      </w:r>
    </w:p>
    <w:p>
      <w:pPr>
        <w:autoSpaceDE w:val="0"/>
        <w:jc w:val="left"/>
        <w:rPr>
          <w:rFonts w:hint="eastAsia"/>
          <w:sz w:val="15"/>
          <w:szCs w:val="15"/>
        </w:rPr>
      </w:pPr>
      <w:r>
        <w:rPr>
          <w:rFonts w:hint="eastAsia"/>
          <w:sz w:val="15"/>
          <w:szCs w:val="15"/>
        </w:rPr>
        <w:t>regularization. In ICLR. 6</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Jiasen Lu, Dhruv Batra, Devi Parikh, and Stefan Lee. Vilbert:</w:t>
      </w:r>
    </w:p>
    <w:p>
      <w:pPr>
        <w:autoSpaceDE w:val="0"/>
        <w:jc w:val="left"/>
        <w:rPr>
          <w:rFonts w:hint="eastAsia"/>
          <w:sz w:val="15"/>
          <w:szCs w:val="15"/>
        </w:rPr>
      </w:pPr>
      <w:r>
        <w:rPr>
          <w:rFonts w:hint="eastAsia"/>
          <w:sz w:val="15"/>
          <w:szCs w:val="15"/>
        </w:rPr>
        <w:t>pretraining task-agnostic visiolinguistic representations for</w:t>
      </w:r>
    </w:p>
    <w:p>
      <w:pPr>
        <w:autoSpaceDE w:val="0"/>
        <w:jc w:val="left"/>
        <w:rPr>
          <w:rFonts w:hint="eastAsia"/>
          <w:sz w:val="15"/>
          <w:szCs w:val="15"/>
        </w:rPr>
      </w:pPr>
      <w:r>
        <w:rPr>
          <w:rFonts w:hint="eastAsia"/>
          <w:sz w:val="15"/>
          <w:szCs w:val="15"/>
        </w:rPr>
        <w:t>vision-and-language tasks. In NeurIPS, pages 13–23, 2019.</w:t>
      </w:r>
    </w:p>
    <w:p>
      <w:pPr>
        <w:autoSpaceDE w:val="0"/>
        <w:jc w:val="left"/>
        <w:rPr>
          <w:rFonts w:hint="eastAsia"/>
          <w:sz w:val="15"/>
          <w:szCs w:val="15"/>
        </w:rPr>
      </w:pPr>
      <w:r>
        <w:rPr>
          <w:rFonts w:hint="eastAsia"/>
          <w:sz w:val="15"/>
          <w:szCs w:val="15"/>
        </w:rPr>
        <w:t>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Huaishao Luo, Lei Ji, Ming Zhong, Yang Chen, Wen Lei,</w:t>
      </w:r>
    </w:p>
    <w:p>
      <w:pPr>
        <w:autoSpaceDE w:val="0"/>
        <w:jc w:val="left"/>
        <w:rPr>
          <w:rFonts w:hint="eastAsia"/>
          <w:sz w:val="15"/>
          <w:szCs w:val="15"/>
        </w:rPr>
      </w:pPr>
      <w:r>
        <w:rPr>
          <w:rFonts w:hint="eastAsia"/>
          <w:sz w:val="15"/>
          <w:szCs w:val="15"/>
        </w:rPr>
        <w:t>Nan Duan, and Tianrui Li. Clip4clip: An empirical study of</w:t>
      </w:r>
    </w:p>
    <w:p>
      <w:pPr>
        <w:autoSpaceDE w:val="0"/>
        <w:jc w:val="left"/>
        <w:rPr>
          <w:rFonts w:hint="eastAsia"/>
          <w:sz w:val="15"/>
          <w:szCs w:val="15"/>
        </w:rPr>
      </w:pPr>
      <w:r>
        <w:rPr>
          <w:rFonts w:hint="eastAsia"/>
          <w:sz w:val="15"/>
          <w:szCs w:val="15"/>
        </w:rPr>
        <w:t>clip for end to end video clip retrieval and captioning. Neurocomputing, 508:293–304, 2022. 6,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Yiwei Ma, Guohai Xu, Xiaoshuai Sun, Ming Yan, Ji Zhang,</w:t>
      </w:r>
    </w:p>
    <w:p>
      <w:pPr>
        <w:autoSpaceDE w:val="0"/>
        <w:jc w:val="left"/>
        <w:rPr>
          <w:rFonts w:hint="eastAsia"/>
          <w:sz w:val="15"/>
          <w:szCs w:val="15"/>
        </w:rPr>
      </w:pPr>
      <w:r>
        <w:rPr>
          <w:rFonts w:hint="eastAsia"/>
          <w:sz w:val="15"/>
          <w:szCs w:val="15"/>
        </w:rPr>
        <w:t>and Rongrong Ji. X-clip: End-to-end multi-grained contrastive learning for video-text retrieval. In ACMMM, pages</w:t>
      </w:r>
    </w:p>
    <w:p>
      <w:pPr>
        <w:autoSpaceDE w:val="0"/>
        <w:jc w:val="left"/>
        <w:rPr>
          <w:rFonts w:hint="eastAsia"/>
          <w:sz w:val="15"/>
          <w:szCs w:val="15"/>
        </w:rPr>
      </w:pPr>
      <w:r>
        <w:rPr>
          <w:rFonts w:hint="eastAsia"/>
          <w:sz w:val="15"/>
          <w:szCs w:val="15"/>
        </w:rPr>
        <w:t>638–647, 2022. 6,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Bolin Ni, Houwen Peng, Minghao Chen, Songyang Zhang,</w:t>
      </w:r>
    </w:p>
    <w:p>
      <w:pPr>
        <w:autoSpaceDE w:val="0"/>
        <w:jc w:val="left"/>
        <w:rPr>
          <w:rFonts w:hint="eastAsia"/>
          <w:sz w:val="15"/>
          <w:szCs w:val="15"/>
        </w:rPr>
      </w:pPr>
      <w:r>
        <w:rPr>
          <w:rFonts w:hint="eastAsia"/>
          <w:sz w:val="15"/>
          <w:szCs w:val="15"/>
        </w:rPr>
        <w:t>Gaofeng Meng, Jianlong Fu, Shiming Xiang, and Haibin</w:t>
      </w:r>
    </w:p>
    <w:p>
      <w:pPr>
        <w:autoSpaceDE w:val="0"/>
        <w:jc w:val="left"/>
        <w:rPr>
          <w:rFonts w:hint="eastAsia"/>
          <w:sz w:val="15"/>
          <w:szCs w:val="15"/>
        </w:rPr>
      </w:pPr>
      <w:r>
        <w:rPr>
          <w:rFonts w:hint="eastAsia"/>
          <w:sz w:val="15"/>
          <w:szCs w:val="15"/>
        </w:rPr>
        <w:t>Ling. Expanding language-image pretrained models for general video recognition. 2022. 5, 6</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Aaron van den Oord, Yazhe Li, and Oriol Vinyals. Representation learning with contrastive predictive coding. arXiv</w:t>
      </w:r>
    </w:p>
    <w:p>
      <w:pPr>
        <w:autoSpaceDE w:val="0"/>
        <w:jc w:val="left"/>
        <w:rPr>
          <w:rFonts w:hint="eastAsia"/>
          <w:sz w:val="15"/>
          <w:szCs w:val="15"/>
        </w:rPr>
      </w:pPr>
      <w:r>
        <w:rPr>
          <w:rFonts w:hint="eastAsia"/>
          <w:sz w:val="15"/>
          <w:szCs w:val="15"/>
        </w:rPr>
        <w:t>preprint arXiv:1807.03748, 2018. 6</w:t>
      </w:r>
    </w:p>
    <w:p>
      <w:pPr>
        <w:numPr>
          <w:ilvl w:val="0"/>
          <w:numId w:val="3"/>
        </w:numPr>
        <w:autoSpaceDE w:val="0"/>
        <w:ind w:left="620" w:leftChars="0" w:hanging="440" w:firstLineChars="0"/>
        <w:jc w:val="left"/>
        <w:rPr>
          <w:rFonts w:hint="eastAsia"/>
          <w:sz w:val="15"/>
          <w:szCs w:val="15"/>
        </w:rPr>
      </w:pPr>
      <w:r>
        <w:rPr>
          <w:rFonts w:hint="eastAsia"/>
          <w:sz w:val="15"/>
          <w:szCs w:val="15"/>
        </w:rPr>
        <w:t>Di Qi, Lin Su, Jia Song, Edward Cui, Taroon Bharti, and</w:t>
      </w:r>
    </w:p>
    <w:p>
      <w:pPr>
        <w:autoSpaceDE w:val="0"/>
        <w:jc w:val="left"/>
        <w:rPr>
          <w:rFonts w:hint="eastAsia"/>
          <w:sz w:val="15"/>
          <w:szCs w:val="15"/>
        </w:rPr>
      </w:pPr>
      <w:r>
        <w:rPr>
          <w:rFonts w:hint="eastAsia"/>
          <w:sz w:val="15"/>
          <w:szCs w:val="15"/>
        </w:rPr>
        <w:t>Arun Sacheti. Imagebert: Cross-modal pre-training with</w:t>
      </w:r>
    </w:p>
    <w:p>
      <w:pPr>
        <w:autoSpaceDE w:val="0"/>
        <w:jc w:val="left"/>
        <w:rPr>
          <w:rFonts w:hint="eastAsia"/>
          <w:sz w:val="15"/>
          <w:szCs w:val="15"/>
        </w:rPr>
      </w:pPr>
      <w:r>
        <w:rPr>
          <w:rFonts w:hint="eastAsia"/>
          <w:sz w:val="15"/>
          <w:szCs w:val="15"/>
        </w:rPr>
        <w:t>large-scale weak-supervised image-text data. arXiv preprint</w:t>
      </w:r>
    </w:p>
    <w:p>
      <w:pPr>
        <w:autoSpaceDE w:val="0"/>
        <w:jc w:val="left"/>
        <w:rPr>
          <w:rFonts w:hint="eastAsia"/>
          <w:sz w:val="15"/>
          <w:szCs w:val="15"/>
        </w:rPr>
      </w:pPr>
      <w:r>
        <w:rPr>
          <w:rFonts w:hint="eastAsia"/>
          <w:sz w:val="15"/>
          <w:szCs w:val="15"/>
        </w:rPr>
        <w:t>arXiv:2001.07966, 2020.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Alec Radford, Jong Wook Kim, Chris Hallacy, Aditya</w:t>
      </w:r>
    </w:p>
    <w:p>
      <w:pPr>
        <w:autoSpaceDE w:val="0"/>
        <w:jc w:val="left"/>
        <w:rPr>
          <w:rFonts w:hint="eastAsia"/>
          <w:sz w:val="15"/>
          <w:szCs w:val="15"/>
        </w:rPr>
      </w:pPr>
      <w:r>
        <w:rPr>
          <w:rFonts w:hint="eastAsia"/>
          <w:sz w:val="15"/>
          <w:szCs w:val="15"/>
        </w:rPr>
        <w:t>Ramesh, Gabriel Goh, Sandhini Agarwal, Girish Sastry,</w:t>
      </w:r>
    </w:p>
    <w:p>
      <w:pPr>
        <w:autoSpaceDE w:val="0"/>
        <w:jc w:val="left"/>
        <w:rPr>
          <w:rFonts w:hint="eastAsia"/>
          <w:sz w:val="15"/>
          <w:szCs w:val="15"/>
        </w:rPr>
      </w:pPr>
      <w:r>
        <w:rPr>
          <w:rFonts w:hint="eastAsia"/>
          <w:sz w:val="15"/>
          <w:szCs w:val="15"/>
        </w:rPr>
        <w:t>Amanda Askell, Pamela Mishkin, Jack Clark, et al. Learning</w:t>
      </w:r>
    </w:p>
    <w:p>
      <w:pPr>
        <w:autoSpaceDE w:val="0"/>
        <w:jc w:val="left"/>
        <w:rPr>
          <w:rFonts w:hint="eastAsia"/>
          <w:sz w:val="15"/>
          <w:szCs w:val="15"/>
        </w:rPr>
      </w:pPr>
      <w:r>
        <w:rPr>
          <w:rFonts w:hint="eastAsia"/>
          <w:sz w:val="15"/>
          <w:szCs w:val="15"/>
        </w:rPr>
        <w:t>transferable visual models from natural language supervision. In International conference on machine learning, pages</w:t>
      </w:r>
    </w:p>
    <w:p>
      <w:pPr>
        <w:autoSpaceDE w:val="0"/>
        <w:jc w:val="left"/>
        <w:rPr>
          <w:rFonts w:hint="eastAsia"/>
          <w:sz w:val="15"/>
          <w:szCs w:val="15"/>
        </w:rPr>
      </w:pPr>
      <w:r>
        <w:rPr>
          <w:rFonts w:hint="eastAsia"/>
          <w:sz w:val="15"/>
          <w:szCs w:val="15"/>
        </w:rPr>
        <w:t>8748–8763. PMLR, 2021.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Negar Rostamzadeh, Seyedarian Hosseini, Thomas Boquet,</w:t>
      </w:r>
    </w:p>
    <w:p>
      <w:pPr>
        <w:autoSpaceDE w:val="0"/>
        <w:jc w:val="left"/>
        <w:rPr>
          <w:rFonts w:hint="eastAsia"/>
          <w:sz w:val="15"/>
          <w:szCs w:val="15"/>
        </w:rPr>
      </w:pPr>
      <w:r>
        <w:rPr>
          <w:rFonts w:hint="eastAsia"/>
          <w:sz w:val="15"/>
          <w:szCs w:val="15"/>
        </w:rPr>
        <w:t>Wojciech Stokowiec, Ying Zhang, Christian Jauvin, and</w:t>
      </w:r>
    </w:p>
    <w:p>
      <w:pPr>
        <w:autoSpaceDE w:val="0"/>
        <w:jc w:val="left"/>
        <w:rPr>
          <w:rFonts w:hint="eastAsia"/>
          <w:sz w:val="15"/>
          <w:szCs w:val="15"/>
        </w:rPr>
      </w:pPr>
      <w:r>
        <w:rPr>
          <w:rFonts w:hint="eastAsia"/>
          <w:sz w:val="15"/>
          <w:szCs w:val="15"/>
        </w:rPr>
        <w:t>Chris Pal. Fashion-gen: The generative fashion dataset and</w:t>
      </w:r>
    </w:p>
    <w:p>
      <w:pPr>
        <w:autoSpaceDE w:val="0"/>
        <w:jc w:val="left"/>
        <w:rPr>
          <w:rFonts w:hint="eastAsia"/>
          <w:sz w:val="15"/>
          <w:szCs w:val="15"/>
        </w:rPr>
      </w:pPr>
      <w:r>
        <w:rPr>
          <w:rFonts w:hint="eastAsia"/>
          <w:sz w:val="15"/>
          <w:szCs w:val="15"/>
        </w:rPr>
        <w:t>challenge. 2018. 2,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Majuran Shajini and Amirthalingam Ramanan. An improved</w:t>
      </w:r>
    </w:p>
    <w:p>
      <w:pPr>
        <w:autoSpaceDE w:val="0"/>
        <w:jc w:val="left"/>
        <w:rPr>
          <w:rFonts w:hint="eastAsia"/>
          <w:sz w:val="15"/>
          <w:szCs w:val="15"/>
        </w:rPr>
      </w:pPr>
      <w:r>
        <w:rPr>
          <w:rFonts w:hint="eastAsia"/>
          <w:sz w:val="15"/>
          <w:szCs w:val="15"/>
        </w:rPr>
        <w:t>landmark-driven and spatial–channel attentive convolutional</w:t>
      </w:r>
    </w:p>
    <w:p>
      <w:pPr>
        <w:autoSpaceDE w:val="0"/>
        <w:jc w:val="left"/>
        <w:rPr>
          <w:rFonts w:hint="eastAsia"/>
          <w:sz w:val="15"/>
          <w:szCs w:val="15"/>
        </w:rPr>
      </w:pPr>
      <w:r>
        <w:rPr>
          <w:rFonts w:hint="eastAsia"/>
          <w:sz w:val="15"/>
          <w:szCs w:val="15"/>
        </w:rPr>
        <w:t>neural network for fashion clothes classification. The Visual</w:t>
      </w:r>
    </w:p>
    <w:p>
      <w:pPr>
        <w:autoSpaceDE w:val="0"/>
        <w:jc w:val="left"/>
        <w:rPr>
          <w:rFonts w:hint="eastAsia"/>
          <w:sz w:val="15"/>
          <w:szCs w:val="15"/>
        </w:rPr>
      </w:pPr>
      <w:r>
        <w:rPr>
          <w:rFonts w:hint="eastAsia"/>
          <w:sz w:val="15"/>
          <w:szCs w:val="15"/>
        </w:rPr>
        <w:t>Computer, 37(6):1517–1526, 2021. 2</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Majuran Shajini and Amirthalingam Ramanan. A</w:t>
      </w:r>
    </w:p>
    <w:p>
      <w:pPr>
        <w:autoSpaceDE w:val="0"/>
        <w:jc w:val="left"/>
        <w:rPr>
          <w:rFonts w:hint="eastAsia"/>
          <w:sz w:val="15"/>
          <w:szCs w:val="15"/>
        </w:rPr>
      </w:pPr>
      <w:r>
        <w:rPr>
          <w:rFonts w:hint="eastAsia"/>
          <w:sz w:val="15"/>
          <w:szCs w:val="15"/>
        </w:rPr>
        <w:t>knowledge-sharing semi-supervised approach for fashion</w:t>
      </w:r>
    </w:p>
    <w:p>
      <w:pPr>
        <w:autoSpaceDE w:val="0"/>
        <w:jc w:val="left"/>
        <w:rPr>
          <w:rFonts w:hint="eastAsia"/>
          <w:sz w:val="15"/>
          <w:szCs w:val="15"/>
        </w:rPr>
      </w:pPr>
      <w:r>
        <w:rPr>
          <w:rFonts w:hint="eastAsia"/>
          <w:sz w:val="15"/>
          <w:szCs w:val="15"/>
        </w:rPr>
        <w:t>clothes classification and attribute prediction. The Visual</w:t>
      </w:r>
    </w:p>
    <w:p>
      <w:pPr>
        <w:autoSpaceDE w:val="0"/>
        <w:jc w:val="left"/>
        <w:rPr>
          <w:rFonts w:hint="eastAsia"/>
          <w:sz w:val="15"/>
          <w:szCs w:val="15"/>
        </w:rPr>
      </w:pPr>
      <w:r>
        <w:rPr>
          <w:rFonts w:hint="eastAsia"/>
          <w:sz w:val="15"/>
          <w:szCs w:val="15"/>
        </w:rPr>
        <w:t>Computer, 38(11):3551–3561, 2022. 2</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Weijie Su, Xizhou Zhu, Yue Cao, Bin Li, Lewei Lu, Furu</w:t>
      </w:r>
    </w:p>
    <w:p>
      <w:pPr>
        <w:autoSpaceDE w:val="0"/>
        <w:jc w:val="left"/>
        <w:rPr>
          <w:rFonts w:hint="eastAsia"/>
          <w:sz w:val="15"/>
          <w:szCs w:val="15"/>
        </w:rPr>
      </w:pPr>
      <w:r>
        <w:rPr>
          <w:rFonts w:hint="eastAsia"/>
          <w:sz w:val="15"/>
          <w:szCs w:val="15"/>
        </w:rPr>
        <w:t>Wei, and Jifeng Dai. Vl-bert: Pre-training of generic visuallinguistic representations. In ICLR.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Chen Sun, Austin Myers, Carl Vondrick, Kevin Murphy, and</w:t>
      </w:r>
    </w:p>
    <w:p>
      <w:pPr>
        <w:autoSpaceDE w:val="0"/>
        <w:jc w:val="left"/>
        <w:rPr>
          <w:rFonts w:hint="eastAsia"/>
          <w:sz w:val="15"/>
          <w:szCs w:val="15"/>
        </w:rPr>
      </w:pPr>
      <w:r>
        <w:rPr>
          <w:rFonts w:hint="eastAsia"/>
          <w:sz w:val="15"/>
          <w:szCs w:val="15"/>
        </w:rPr>
        <w:t>Cordelia Schmid. Videobert: A joint model for video and</w:t>
      </w:r>
    </w:p>
    <w:p>
      <w:pPr>
        <w:autoSpaceDE w:val="0"/>
        <w:jc w:val="left"/>
        <w:rPr>
          <w:rFonts w:hint="eastAsia"/>
          <w:sz w:val="15"/>
          <w:szCs w:val="15"/>
        </w:rPr>
      </w:pPr>
      <w:r>
        <w:rPr>
          <w:rFonts w:hint="eastAsia"/>
          <w:sz w:val="15"/>
          <w:szCs w:val="15"/>
        </w:rPr>
        <w:t>language representation learning. In ICCV, pages 7464–</w:t>
      </w:r>
    </w:p>
    <w:p>
      <w:pPr>
        <w:autoSpaceDE w:val="0"/>
        <w:jc w:val="left"/>
        <w:rPr>
          <w:rFonts w:hint="eastAsia"/>
          <w:sz w:val="15"/>
          <w:szCs w:val="15"/>
        </w:rPr>
      </w:pPr>
      <w:r>
        <w:rPr>
          <w:rFonts w:hint="eastAsia"/>
          <w:sz w:val="15"/>
          <w:szCs w:val="15"/>
        </w:rPr>
        <w:t>7473, 2019. 3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Hao Tan and Mohit Bansal. Lxmert: Learning crossmodality encoder representations from transformers. In</w:t>
      </w:r>
    </w:p>
    <w:p>
      <w:pPr>
        <w:autoSpaceDE w:val="0"/>
        <w:jc w:val="left"/>
        <w:rPr>
          <w:rFonts w:hint="eastAsia"/>
          <w:sz w:val="15"/>
          <w:szCs w:val="15"/>
        </w:rPr>
      </w:pPr>
      <w:r>
        <w:rPr>
          <w:rFonts w:hint="eastAsia"/>
          <w:sz w:val="15"/>
          <w:szCs w:val="15"/>
        </w:rPr>
        <w:t>EMNLP-IJCNLP, pages 5100–5111, 2019. 3</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An Yang, Junshu Pan, Junyang Lin, Rui Men, Yichang</w:t>
      </w:r>
    </w:p>
    <w:p>
      <w:pPr>
        <w:autoSpaceDE w:val="0"/>
        <w:jc w:val="left"/>
        <w:rPr>
          <w:rFonts w:hint="eastAsia"/>
          <w:sz w:val="15"/>
          <w:szCs w:val="15"/>
        </w:rPr>
      </w:pPr>
      <w:r>
        <w:rPr>
          <w:rFonts w:hint="eastAsia"/>
          <w:sz w:val="15"/>
          <w:szCs w:val="15"/>
        </w:rPr>
        <w:t>Zhang, Jingren Zhou, and Chang Zhou. Chinese clip:</w:t>
      </w:r>
    </w:p>
    <w:p>
      <w:pPr>
        <w:autoSpaceDE w:val="0"/>
        <w:jc w:val="left"/>
        <w:rPr>
          <w:rFonts w:hint="eastAsia"/>
          <w:sz w:val="15"/>
          <w:szCs w:val="15"/>
        </w:rPr>
      </w:pPr>
      <w:r>
        <w:rPr>
          <w:rFonts w:hint="eastAsia"/>
          <w:sz w:val="15"/>
          <w:szCs w:val="15"/>
        </w:rPr>
        <w:t>Contrastive vision-language pretraining in chinese. arXiv</w:t>
      </w:r>
    </w:p>
    <w:p>
      <w:pPr>
        <w:autoSpaceDE w:val="0"/>
        <w:jc w:val="left"/>
        <w:rPr>
          <w:rFonts w:hint="eastAsia"/>
          <w:sz w:val="15"/>
          <w:szCs w:val="15"/>
        </w:rPr>
      </w:pPr>
      <w:r>
        <w:rPr>
          <w:rFonts w:hint="eastAsia"/>
          <w:sz w:val="15"/>
          <w:szCs w:val="15"/>
        </w:rPr>
        <w:t>preprint arXiv:2211.01335, 2022. 3, 6,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Wenjie Yang, Yiyi Chen, Yan Li, Yanhua Cheng, Xudong</w:t>
      </w:r>
    </w:p>
    <w:p>
      <w:pPr>
        <w:autoSpaceDE w:val="0"/>
        <w:jc w:val="left"/>
        <w:rPr>
          <w:rFonts w:hint="eastAsia"/>
          <w:sz w:val="15"/>
          <w:szCs w:val="15"/>
        </w:rPr>
      </w:pPr>
      <w:r>
        <w:rPr>
          <w:rFonts w:hint="eastAsia"/>
          <w:sz w:val="15"/>
          <w:szCs w:val="15"/>
        </w:rPr>
        <w:t>Liu, Quan Chen, and Han Li. Cross-view semantic alignment for livestreaming product recognition. arXiv preprint</w:t>
      </w:r>
    </w:p>
    <w:p>
      <w:pPr>
        <w:autoSpaceDE w:val="0"/>
        <w:jc w:val="left"/>
        <w:rPr>
          <w:rFonts w:hint="eastAsia"/>
          <w:sz w:val="15"/>
          <w:szCs w:val="15"/>
        </w:rPr>
      </w:pPr>
      <w:r>
        <w:rPr>
          <w:rFonts w:hint="eastAsia"/>
          <w:sz w:val="15"/>
          <w:szCs w:val="15"/>
        </w:rPr>
        <w:t>arXiv:2308.04912, 2023. 2</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Xunlin Zhan, Yangxin Wu, Xiao Dong, Yunchao Wei, Minlong Lu, Yichi Zhang, Hang Xu, and Xiaodan Liang. Product1m: Towards weakly supervised instance-level product</w:t>
      </w:r>
    </w:p>
    <w:p>
      <w:pPr>
        <w:autoSpaceDE w:val="0"/>
        <w:jc w:val="left"/>
        <w:rPr>
          <w:rFonts w:hint="eastAsia"/>
          <w:sz w:val="15"/>
          <w:szCs w:val="15"/>
        </w:rPr>
      </w:pPr>
      <w:r>
        <w:rPr>
          <w:rFonts w:hint="eastAsia"/>
          <w:sz w:val="15"/>
          <w:szCs w:val="15"/>
        </w:rPr>
        <w:t>retrieval via cross-modal pretraining. In ICCV, pages 11782–</w:t>
      </w:r>
    </w:p>
    <w:p>
      <w:pPr>
        <w:autoSpaceDE w:val="0"/>
        <w:jc w:val="left"/>
        <w:rPr>
          <w:rFonts w:hint="eastAsia"/>
          <w:sz w:val="15"/>
          <w:szCs w:val="15"/>
        </w:rPr>
      </w:pPr>
      <w:r>
        <w:rPr>
          <w:rFonts w:hint="eastAsia"/>
          <w:sz w:val="15"/>
          <w:szCs w:val="15"/>
        </w:rPr>
        <w:t>11791, 2021. 2, 3, 7</w:t>
      </w:r>
    </w:p>
    <w:p>
      <w:pPr>
        <w:pStyle w:val="98"/>
        <w:numPr>
          <w:ilvl w:val="0"/>
          <w:numId w:val="3"/>
        </w:numPr>
        <w:tabs>
          <w:tab w:val="right" w:pos="4500"/>
        </w:tabs>
        <w:autoSpaceDE w:val="0"/>
        <w:adjustRightInd w:val="0"/>
        <w:snapToGrid w:val="0"/>
        <w:spacing w:line="280" w:lineRule="atLeast"/>
        <w:ind w:left="620" w:leftChars="0" w:hanging="440" w:firstLineChars="0"/>
        <w:jc w:val="left"/>
        <w:rPr>
          <w:rFonts w:hint="eastAsia"/>
          <w:sz w:val="15"/>
          <w:szCs w:val="15"/>
        </w:rPr>
      </w:pPr>
      <w:r>
        <w:rPr>
          <w:rFonts w:hint="eastAsia"/>
          <w:sz w:val="15"/>
          <w:szCs w:val="15"/>
        </w:rPr>
        <w:t>Kaiyang Zhou, Jingkang Yang, Chen Change Loy, and Ziwei Liu. Conditional prompt learning for vision-language</w:t>
      </w:r>
    </w:p>
    <w:p>
      <w:pPr>
        <w:autoSpaceDE w:val="0"/>
        <w:jc w:val="left"/>
        <w:rPr>
          <w:rFonts w:eastAsia="黑体"/>
          <w:sz w:val="21"/>
          <w:szCs w:val="21"/>
        </w:rPr>
      </w:pPr>
      <w:r>
        <w:rPr>
          <w:rFonts w:hint="eastAsia"/>
          <w:sz w:val="15"/>
          <w:szCs w:val="15"/>
        </w:rPr>
        <w:t>models. In CVPR, pages 16816–16825, 2022. 3</w:t>
      </w:r>
    </w:p>
    <w:p>
      <w:pPr>
        <w:autoSpaceDE w:val="0"/>
        <w:jc w:val="left"/>
        <w:rPr>
          <w:rFonts w:hint="eastAsia" w:eastAsia="黑体"/>
          <w:sz w:val="21"/>
          <w:szCs w:val="21"/>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equalWidth="0" w:num="2">
            <w:col w:w="4606" w:space="425"/>
            <w:col w:w="4606"/>
          </w:cols>
          <w:docGrid w:type="lines" w:linePitch="312" w:charSpace="0"/>
        </w:sectPr>
      </w:pPr>
    </w:p>
    <w:p>
      <w:pPr>
        <w:autoSpaceDE w:val="0"/>
        <w:jc w:val="left"/>
        <w:rPr>
          <w:rFonts w:hint="eastAsia"/>
          <w:szCs w:val="18"/>
        </w:rPr>
      </w:pPr>
    </w:p>
    <w:p>
      <w:pPr>
        <w:rPr>
          <w:rFonts w:hAnsi="宋体"/>
          <w:szCs w:val="18"/>
        </w:rPr>
        <w:sectPr>
          <w:type w:val="continuous"/>
          <w:pgSz w:w="11905" w:h="16837"/>
          <w:pgMar w:top="1474" w:right="1134" w:bottom="1474" w:left="1134" w:header="964" w:footer="964" w:gutter="0"/>
          <w:pgBorders>
            <w:top w:val="none" w:sz="0" w:space="0"/>
            <w:left w:val="none" w:sz="0" w:space="0"/>
            <w:bottom w:val="none" w:sz="0" w:space="0"/>
            <w:right w:val="none" w:sz="0" w:space="0"/>
          </w:pgBorders>
          <w:cols w:equalWidth="0" w:num="2">
            <w:col w:w="4606" w:space="425"/>
            <w:col w:w="4606"/>
          </w:cols>
          <w:docGrid w:type="lines" w:linePitch="312" w:charSpace="0"/>
        </w:sectPr>
      </w:pPr>
    </w:p>
    <w:p/>
    <w:sectPr>
      <w:type w:val="continuous"/>
      <w:pgSz w:w="11905" w:h="16837"/>
      <w:pgMar w:top="1474" w:right="1134" w:bottom="1474" w:left="1134" w:header="964" w:footer="964" w:gutter="0"/>
      <w:pgBorders>
        <w:top w:val="none" w:sz="0" w:space="0"/>
        <w:left w:val="none" w:sz="0" w:space="0"/>
        <w:bottom w:val="none" w:sz="0" w:space="0"/>
        <w:right w:val="none" w:sz="0" w:space="0"/>
      </w:pgBorders>
      <w:cols w:equalWidth="0" w:num="2">
        <w:col w:w="4606" w:space="425"/>
        <w:col w:w="4606"/>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²Ó©úÅé">
    <w:altName w:val="MingLiU-ExtB"/>
    <w:panose1 w:val="00000000000000000000"/>
    <w:charset w:val="88"/>
    <w:family w:val="auto"/>
    <w:pitch w:val="default"/>
    <w:sig w:usb0="00000000" w:usb1="00000000" w:usb2="00000010" w:usb3="00000000" w:csb0="00100000" w:csb1="00000000"/>
  </w:font>
  <w:font w:name="仿宋_GB2312">
    <w:altName w:val="仿宋"/>
    <w:panose1 w:val="00000000000000000000"/>
    <w:charset w:val="86"/>
    <w:family w:val="modern"/>
    <w:pitch w:val="default"/>
    <w:sig w:usb0="00000000" w:usb1="00000000" w:usb2="00000010" w:usb3="00000000" w:csb0="00040000" w:csb1="00000000"/>
  </w:font>
  <w:font w:name="DejaVu Sans">
    <w:altName w:val="Arial"/>
    <w:panose1 w:val="00000000000000000000"/>
    <w:charset w:val="00"/>
    <w:family w:val="swiss"/>
    <w:pitch w:val="default"/>
    <w:sig w:usb0="00000000" w:usb1="00000000" w:usb2="00042029" w:usb3="00000000" w:csb0="800001FF" w:csb1="00000000"/>
  </w:font>
  <w:font w:name="Monotype Sorts">
    <w:altName w:val="MT Extra"/>
    <w:panose1 w:val="00000000000000000000"/>
    <w:charset w:val="02"/>
    <w:family w:val="auto"/>
    <w:pitch w:val="default"/>
    <w:sig w:usb0="00000000" w:usb1="00000000" w:usb2="00000000" w:usb3="00000000" w:csb0="80000000" w:csb1="00000000"/>
  </w:font>
  <w:font w:name="OpenSymbol">
    <w:altName w:val="Courier New"/>
    <w:panose1 w:val="00000000000000000000"/>
    <w:charset w:val="00"/>
    <w:family w:val="auto"/>
    <w:pitch w:val="default"/>
    <w:sig w:usb0="00000000" w:usb1="00000000" w:usb2="00000000" w:usb3="00000000" w:csb0="00000001"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ingLiU-ExtB">
    <w:panose1 w:val="02020500000000000000"/>
    <w:charset w:val="88"/>
    <w:family w:val="auto"/>
    <w:pitch w:val="default"/>
    <w:sig w:usb0="8000002F" w:usb1="02000008" w:usb2="00000000" w:usb3="00000000" w:csb0="00100001" w:csb1="00000000"/>
  </w:font>
  <w:font w:name="楷体">
    <w:panose1 w:val="02010609060101010101"/>
    <w:charset w:val="86"/>
    <w:family w:val="modern"/>
    <w:pitch w:val="default"/>
    <w:sig w:usb0="800002BF" w:usb1="38CF7CFA" w:usb2="00000016" w:usb3="00000000" w:csb0="00040001" w:csb1="00000000"/>
  </w:font>
  <w:font w:name="MT Extra">
    <w:panose1 w:val="05050102010205020202"/>
    <w:charset w:val="00"/>
    <w:family w:val="auto"/>
    <w:pitch w:val="default"/>
    <w:sig w:usb0="8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820"/>
        <w:tab w:val="right" w:pos="9639"/>
      </w:tabs>
      <w:jc w:val="left"/>
    </w:pPr>
    <w:r>
      <w:t>?</w:t>
    </w:r>
    <w:r>
      <w:rPr>
        <w:rFonts w:hint="eastAsia"/>
      </w:rPr>
      <w:t>期</w:t>
    </w:r>
    <w:r>
      <w:rPr>
        <w:rFonts w:hint="eastAsia"/>
      </w:rPr>
      <w:tab/>
    </w:r>
    <w:r>
      <w:rPr>
        <w:rFonts w:hint="eastAsia"/>
      </w:rPr>
      <w:t>作者名等：论文题目</w:t>
    </w:r>
    <w:r>
      <w:rPr>
        <w:rFonts w:hint="eastAsia"/>
      </w:rPr>
      <w:tab/>
    </w:r>
    <w:r>
      <w:rPr>
        <w:rStyle w:val="31"/>
      </w:rPr>
      <w:fldChar w:fldCharType="begin"/>
    </w:r>
    <w:r>
      <w:rPr>
        <w:rStyle w:val="31"/>
      </w:rPr>
      <w:instrText xml:space="preserve"> PAGE </w:instrText>
    </w:r>
    <w:r>
      <w:rPr>
        <w:rStyle w:val="31"/>
      </w:rPr>
      <w:fldChar w:fldCharType="separate"/>
    </w:r>
    <w:r>
      <w:rPr>
        <w:rStyle w:val="31"/>
      </w:rPr>
      <w:t>3</w:t>
    </w:r>
    <w:r>
      <w:rPr>
        <w:rStyle w:val="3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820"/>
        <w:tab w:val="right" w:pos="9639"/>
      </w:tabs>
      <w:jc w:val="left"/>
    </w:pPr>
    <w:r>
      <w:rPr>
        <w:rStyle w:val="31"/>
      </w:rPr>
      <w:fldChar w:fldCharType="begin"/>
    </w:r>
    <w:r>
      <w:rPr>
        <w:rStyle w:val="31"/>
      </w:rPr>
      <w:instrText xml:space="preserve"> PAGE </w:instrText>
    </w:r>
    <w:r>
      <w:rPr>
        <w:rStyle w:val="31"/>
      </w:rPr>
      <w:fldChar w:fldCharType="separate"/>
    </w:r>
    <w:r>
      <w:rPr>
        <w:rStyle w:val="31"/>
      </w:rPr>
      <w:t>2</w:t>
    </w:r>
    <w:r>
      <w:rPr>
        <w:rStyle w:val="31"/>
      </w:rPr>
      <w:fldChar w:fldCharType="end"/>
    </w:r>
    <w:r>
      <w:rPr>
        <w:rFonts w:hint="eastAsia"/>
      </w:rPr>
      <w:tab/>
    </w:r>
    <w:r>
      <w:rPr>
        <w:rFonts w:hint="eastAsia"/>
      </w:rPr>
      <w:t>计 算 机 学 报</w:t>
    </w:r>
    <w:r>
      <w:rPr>
        <w:rFonts w:hint="eastAsia"/>
      </w:rPr>
      <w:tab/>
    </w:r>
    <w:r>
      <w:rPr>
        <w:rFonts w:hint="eastAsia"/>
      </w:rPr>
      <w:t>20??年</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double" w:color="auto" w:sz="4" w:space="1"/>
      </w:pBdr>
      <w:tabs>
        <w:tab w:val="center" w:pos="4820"/>
        <w:tab w:val="right" w:pos="9639"/>
      </w:tabs>
      <w:adjustRightInd w:val="0"/>
      <w:snapToGrid w:val="0"/>
      <w:spacing w:line="300" w:lineRule="atLeast"/>
      <w:rPr>
        <w:snapToGrid w:val="0"/>
        <w:kern w:val="0"/>
      </w:rPr>
    </w:pPr>
    <w:r>
      <w:rPr>
        <w:rFonts w:hint="eastAsia"/>
        <w:snapToGrid w:val="0"/>
        <w:kern w:val="0"/>
      </w:rPr>
      <w:t>第??卷  第?期</w:t>
    </w:r>
    <w:r>
      <w:rPr>
        <w:rFonts w:hint="eastAsia"/>
        <w:snapToGrid w:val="0"/>
        <w:kern w:val="0"/>
      </w:rPr>
      <w:tab/>
    </w:r>
    <w:r>
      <w:rPr>
        <w:rFonts w:hint="eastAsia"/>
        <w:snapToGrid w:val="0"/>
        <w:kern w:val="0"/>
      </w:rPr>
      <w:t>计  算  机  学  报</w:t>
    </w:r>
    <w:r>
      <w:rPr>
        <w:rFonts w:hint="eastAsia"/>
        <w:snapToGrid w:val="0"/>
        <w:kern w:val="0"/>
      </w:rPr>
      <w:tab/>
    </w:r>
    <w:r>
      <w:rPr>
        <w:rFonts w:hint="eastAsia"/>
        <w:snapToGrid w:val="0"/>
        <w:kern w:val="0"/>
      </w:rPr>
      <w:t>Vol. ??  No. ?</w:t>
    </w:r>
    <w:r>
      <w:rPr>
        <w:snapToGrid w:val="0"/>
        <w:kern w:val="0"/>
      </w:rPr>
      <w:br w:type="textWrapping"/>
    </w:r>
    <w:r>
      <w:rPr>
        <w:rFonts w:hint="eastAsia"/>
        <w:snapToGrid w:val="0"/>
        <w:kern w:val="0"/>
      </w:rPr>
      <w:t>20??年？月</w:t>
    </w:r>
    <w:r>
      <w:rPr>
        <w:rFonts w:hint="eastAsia"/>
        <w:snapToGrid w:val="0"/>
        <w:kern w:val="0"/>
      </w:rPr>
      <w:tab/>
    </w:r>
    <w:r>
      <w:rPr>
        <w:snapToGrid w:val="0"/>
        <w:kern w:val="0"/>
      </w:rPr>
      <w:t>CHINESE JOURNAL OF COMPUTERS</w:t>
    </w:r>
    <w:r>
      <w:rPr>
        <w:rFonts w:hint="eastAsia"/>
        <w:snapToGrid w:val="0"/>
        <w:kern w:val="0"/>
      </w:rPr>
      <w:tab/>
    </w:r>
    <w:r>
      <w:rPr>
        <w:rFonts w:hint="eastAsia"/>
        <w:snapToGrid w:val="0"/>
        <w:kern w:val="0"/>
      </w:rPr>
      <w:t>???.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079B8C"/>
    <w:multiLevelType w:val="multilevel"/>
    <w:tmpl w:val="9F079B8C"/>
    <w:lvl w:ilvl="0" w:tentative="0">
      <w:start w:val="1"/>
      <w:numFmt w:val="decimal"/>
      <w:pStyle w:val="2"/>
      <w:suff w:val="nothing"/>
      <w:lvlText w:val="%1  "/>
      <w:lvlJc w:val="left"/>
      <w:pPr>
        <w:ind w:left="0" w:firstLine="0"/>
      </w:pPr>
      <w:rPr>
        <w:rFonts w:hint="default" w:ascii="Times New Roman" w:hAnsi="Times New Roman" w:eastAsia="黑体"/>
        <w:b w:val="0"/>
        <w:i w:val="0"/>
        <w:sz w:val="28"/>
      </w:rPr>
    </w:lvl>
    <w:lvl w:ilvl="1" w:tentative="0">
      <w:start w:val="1"/>
      <w:numFmt w:val="decimal"/>
      <w:pStyle w:val="4"/>
      <w:suff w:val="nothing"/>
      <w:lvlText w:val="%1.%2  "/>
      <w:lvlJc w:val="left"/>
      <w:pPr>
        <w:ind w:left="0" w:firstLine="0"/>
      </w:pPr>
      <w:rPr>
        <w:rFonts w:hint="default" w:ascii="Times New Roman" w:hAnsi="Times New Roman" w:eastAsia="黑体"/>
        <w:b w:val="0"/>
        <w:i w:val="0"/>
        <w:sz w:val="21"/>
      </w:rPr>
    </w:lvl>
    <w:lvl w:ilvl="2" w:tentative="0">
      <w:start w:val="1"/>
      <w:numFmt w:val="decimal"/>
      <w:lvlText w:val="%1.%2.%3  "/>
      <w:lvlJc w:val="left"/>
      <w:pPr>
        <w:tabs>
          <w:tab w:val="left" w:pos="720"/>
        </w:tabs>
        <w:ind w:left="0" w:firstLine="0"/>
      </w:pPr>
      <w:rPr>
        <w:rFonts w:hint="default" w:ascii="Times New Roman" w:hAnsi="Times New Roman"/>
        <w:b w:val="0"/>
        <w:i w:val="0"/>
        <w:sz w:val="18"/>
      </w:rPr>
    </w:lvl>
    <w:lvl w:ilvl="3" w:tentative="0">
      <w:start w:val="1"/>
      <w:numFmt w:val="decimal"/>
      <w:pStyle w:val="6"/>
      <w:lvlText w:val="%1.%2.%3.%4  "/>
      <w:lvlJc w:val="left"/>
      <w:pPr>
        <w:tabs>
          <w:tab w:val="left" w:pos="720"/>
        </w:tabs>
        <w:ind w:left="0" w:firstLine="0"/>
      </w:pPr>
      <w:rPr>
        <w:rFonts w:hint="default" w:ascii="Times New Roman" w:hAnsi="Times New Roman"/>
        <w:b/>
        <w:i w:val="0"/>
        <w:sz w:val="18"/>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
    <w:nsid w:val="2D433A8E"/>
    <w:multiLevelType w:val="multilevel"/>
    <w:tmpl w:val="2D433A8E"/>
    <w:lvl w:ilvl="0" w:tentative="0">
      <w:start w:val="1"/>
      <w:numFmt w:val="decimal"/>
      <w:suff w:val="space"/>
      <w:lvlText w:val="[%1]  "/>
      <w:lvlJc w:val="right"/>
      <w:pPr>
        <w:ind w:left="620" w:hanging="440"/>
      </w:pPr>
      <w:rPr>
        <w:rFonts w:hint="default" w:ascii="Times New Roman" w:hAnsi="Times New Roman"/>
        <w:sz w:val="15"/>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612B6CE2"/>
    <w:multiLevelType w:val="multilevel"/>
    <w:tmpl w:val="612B6CE2"/>
    <w:lvl w:ilvl="0" w:tentative="0">
      <w:start w:val="1"/>
      <w:numFmt w:val="decimal"/>
      <w:pStyle w:val="85"/>
      <w:lvlText w:val="[%1]  "/>
      <w:lvlJc w:val="right"/>
      <w:pPr>
        <w:tabs>
          <w:tab w:val="left" w:pos="419"/>
        </w:tabs>
        <w:ind w:left="419" w:hanging="79"/>
      </w:pPr>
      <w:rPr>
        <w:rFonts w:hint="default" w:ascii="Times New Roman" w:hAnsi="Times New Roman" w:eastAsia="宋体"/>
        <w:b w:val="0"/>
        <w:i w:val="0"/>
        <w:sz w:val="15"/>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19"/>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EwZTQ2N2ZlYTQ2ZTY1ZTljNDlhYTY4NzUzNzhiMTIifQ=="/>
  </w:docVars>
  <w:rsids>
    <w:rsidRoot w:val="00B56BE8"/>
    <w:rsid w:val="00000059"/>
    <w:rsid w:val="00000CB1"/>
    <w:rsid w:val="000034C9"/>
    <w:rsid w:val="0000414B"/>
    <w:rsid w:val="00005996"/>
    <w:rsid w:val="00006411"/>
    <w:rsid w:val="00007966"/>
    <w:rsid w:val="0001006C"/>
    <w:rsid w:val="00010342"/>
    <w:rsid w:val="000108A2"/>
    <w:rsid w:val="00010F22"/>
    <w:rsid w:val="00011E34"/>
    <w:rsid w:val="00013527"/>
    <w:rsid w:val="0001682F"/>
    <w:rsid w:val="00017A89"/>
    <w:rsid w:val="00020561"/>
    <w:rsid w:val="0002231C"/>
    <w:rsid w:val="00023C5C"/>
    <w:rsid w:val="0002575E"/>
    <w:rsid w:val="00026578"/>
    <w:rsid w:val="00027699"/>
    <w:rsid w:val="00030128"/>
    <w:rsid w:val="00030552"/>
    <w:rsid w:val="00031970"/>
    <w:rsid w:val="00031A2A"/>
    <w:rsid w:val="00032398"/>
    <w:rsid w:val="00032687"/>
    <w:rsid w:val="00034668"/>
    <w:rsid w:val="000346F4"/>
    <w:rsid w:val="00034E34"/>
    <w:rsid w:val="00037342"/>
    <w:rsid w:val="0004084B"/>
    <w:rsid w:val="00043BCC"/>
    <w:rsid w:val="00043BD9"/>
    <w:rsid w:val="000443C1"/>
    <w:rsid w:val="0004666C"/>
    <w:rsid w:val="000472F9"/>
    <w:rsid w:val="00047495"/>
    <w:rsid w:val="000521BF"/>
    <w:rsid w:val="000536F7"/>
    <w:rsid w:val="0005622F"/>
    <w:rsid w:val="00057C74"/>
    <w:rsid w:val="00057E16"/>
    <w:rsid w:val="00062B2C"/>
    <w:rsid w:val="00067D8A"/>
    <w:rsid w:val="00070A25"/>
    <w:rsid w:val="00072559"/>
    <w:rsid w:val="000730C9"/>
    <w:rsid w:val="000749C5"/>
    <w:rsid w:val="00077839"/>
    <w:rsid w:val="00081B1C"/>
    <w:rsid w:val="00081FBE"/>
    <w:rsid w:val="000834F1"/>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A661E"/>
    <w:rsid w:val="000B0233"/>
    <w:rsid w:val="000B14E8"/>
    <w:rsid w:val="000B15F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3FA4"/>
    <w:rsid w:val="000D4FC6"/>
    <w:rsid w:val="000E14C5"/>
    <w:rsid w:val="000E18DC"/>
    <w:rsid w:val="000E382D"/>
    <w:rsid w:val="000E40E1"/>
    <w:rsid w:val="000E4953"/>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75D7"/>
    <w:rsid w:val="00110213"/>
    <w:rsid w:val="001108CF"/>
    <w:rsid w:val="00111642"/>
    <w:rsid w:val="001116F7"/>
    <w:rsid w:val="0011384A"/>
    <w:rsid w:val="00113B32"/>
    <w:rsid w:val="00113E21"/>
    <w:rsid w:val="00115212"/>
    <w:rsid w:val="001204D2"/>
    <w:rsid w:val="00121348"/>
    <w:rsid w:val="0012228F"/>
    <w:rsid w:val="001226EF"/>
    <w:rsid w:val="001245CB"/>
    <w:rsid w:val="001249C2"/>
    <w:rsid w:val="00126211"/>
    <w:rsid w:val="001264AE"/>
    <w:rsid w:val="00135270"/>
    <w:rsid w:val="00142316"/>
    <w:rsid w:val="00142470"/>
    <w:rsid w:val="00142F62"/>
    <w:rsid w:val="0014313D"/>
    <w:rsid w:val="0014403A"/>
    <w:rsid w:val="00144B20"/>
    <w:rsid w:val="00146A2C"/>
    <w:rsid w:val="00150502"/>
    <w:rsid w:val="00152A35"/>
    <w:rsid w:val="00153319"/>
    <w:rsid w:val="00154EF1"/>
    <w:rsid w:val="00155FF0"/>
    <w:rsid w:val="001560DD"/>
    <w:rsid w:val="00156D71"/>
    <w:rsid w:val="00157332"/>
    <w:rsid w:val="00161845"/>
    <w:rsid w:val="00161A29"/>
    <w:rsid w:val="00162E12"/>
    <w:rsid w:val="001634FB"/>
    <w:rsid w:val="001645DC"/>
    <w:rsid w:val="0016590C"/>
    <w:rsid w:val="00165CCA"/>
    <w:rsid w:val="00165EAF"/>
    <w:rsid w:val="001719FB"/>
    <w:rsid w:val="001720C3"/>
    <w:rsid w:val="001732AE"/>
    <w:rsid w:val="00174A74"/>
    <w:rsid w:val="00175202"/>
    <w:rsid w:val="001764BA"/>
    <w:rsid w:val="00176907"/>
    <w:rsid w:val="001772CE"/>
    <w:rsid w:val="00181952"/>
    <w:rsid w:val="00184B40"/>
    <w:rsid w:val="00185824"/>
    <w:rsid w:val="001864E2"/>
    <w:rsid w:val="00186C99"/>
    <w:rsid w:val="00186FE0"/>
    <w:rsid w:val="0019110F"/>
    <w:rsid w:val="00191E40"/>
    <w:rsid w:val="001926D4"/>
    <w:rsid w:val="001935AD"/>
    <w:rsid w:val="001950B0"/>
    <w:rsid w:val="00195643"/>
    <w:rsid w:val="0019579A"/>
    <w:rsid w:val="00196051"/>
    <w:rsid w:val="001968A0"/>
    <w:rsid w:val="0019750E"/>
    <w:rsid w:val="00197F34"/>
    <w:rsid w:val="001A0974"/>
    <w:rsid w:val="001A0BCF"/>
    <w:rsid w:val="001A1E61"/>
    <w:rsid w:val="001A3020"/>
    <w:rsid w:val="001A382B"/>
    <w:rsid w:val="001A4AEF"/>
    <w:rsid w:val="001A5F0E"/>
    <w:rsid w:val="001A6784"/>
    <w:rsid w:val="001A7E78"/>
    <w:rsid w:val="001B1B6E"/>
    <w:rsid w:val="001B28DA"/>
    <w:rsid w:val="001B2F24"/>
    <w:rsid w:val="001B57E3"/>
    <w:rsid w:val="001B60CD"/>
    <w:rsid w:val="001C4C70"/>
    <w:rsid w:val="001C7D47"/>
    <w:rsid w:val="001D28D3"/>
    <w:rsid w:val="001D31F0"/>
    <w:rsid w:val="001D3509"/>
    <w:rsid w:val="001D5A80"/>
    <w:rsid w:val="001D5B86"/>
    <w:rsid w:val="001E051B"/>
    <w:rsid w:val="001E19D1"/>
    <w:rsid w:val="001E1E54"/>
    <w:rsid w:val="001E2205"/>
    <w:rsid w:val="001E2E2C"/>
    <w:rsid w:val="001E3303"/>
    <w:rsid w:val="001E36F3"/>
    <w:rsid w:val="001E43C1"/>
    <w:rsid w:val="001E494E"/>
    <w:rsid w:val="001E7312"/>
    <w:rsid w:val="001F0FDC"/>
    <w:rsid w:val="001F51CE"/>
    <w:rsid w:val="001F5FDC"/>
    <w:rsid w:val="001F68D6"/>
    <w:rsid w:val="001F68DE"/>
    <w:rsid w:val="001F7104"/>
    <w:rsid w:val="001F7740"/>
    <w:rsid w:val="00200E13"/>
    <w:rsid w:val="0020138C"/>
    <w:rsid w:val="00201BCF"/>
    <w:rsid w:val="00202F31"/>
    <w:rsid w:val="00203952"/>
    <w:rsid w:val="00204AFC"/>
    <w:rsid w:val="00204D6D"/>
    <w:rsid w:val="00206B68"/>
    <w:rsid w:val="0021150D"/>
    <w:rsid w:val="00212D05"/>
    <w:rsid w:val="00212EAF"/>
    <w:rsid w:val="00213F53"/>
    <w:rsid w:val="00214147"/>
    <w:rsid w:val="002155AE"/>
    <w:rsid w:val="002175DE"/>
    <w:rsid w:val="00217FF3"/>
    <w:rsid w:val="00220213"/>
    <w:rsid w:val="00220455"/>
    <w:rsid w:val="002208FF"/>
    <w:rsid w:val="002210E2"/>
    <w:rsid w:val="00223799"/>
    <w:rsid w:val="00225A21"/>
    <w:rsid w:val="00225F1C"/>
    <w:rsid w:val="002301DA"/>
    <w:rsid w:val="00232741"/>
    <w:rsid w:val="00233008"/>
    <w:rsid w:val="00234183"/>
    <w:rsid w:val="00235E19"/>
    <w:rsid w:val="00237136"/>
    <w:rsid w:val="00242D94"/>
    <w:rsid w:val="00242FAF"/>
    <w:rsid w:val="00243196"/>
    <w:rsid w:val="00243DA8"/>
    <w:rsid w:val="00243E15"/>
    <w:rsid w:val="002440D4"/>
    <w:rsid w:val="00244FBD"/>
    <w:rsid w:val="002455EF"/>
    <w:rsid w:val="002458F2"/>
    <w:rsid w:val="00245A72"/>
    <w:rsid w:val="00245E31"/>
    <w:rsid w:val="00246976"/>
    <w:rsid w:val="00246B2E"/>
    <w:rsid w:val="002472F4"/>
    <w:rsid w:val="00251F91"/>
    <w:rsid w:val="00253910"/>
    <w:rsid w:val="00254706"/>
    <w:rsid w:val="00257409"/>
    <w:rsid w:val="00260B40"/>
    <w:rsid w:val="00262761"/>
    <w:rsid w:val="00263779"/>
    <w:rsid w:val="00264332"/>
    <w:rsid w:val="00265177"/>
    <w:rsid w:val="00271193"/>
    <w:rsid w:val="00272CC3"/>
    <w:rsid w:val="00272CCD"/>
    <w:rsid w:val="00273CF9"/>
    <w:rsid w:val="00274300"/>
    <w:rsid w:val="00277262"/>
    <w:rsid w:val="00277E75"/>
    <w:rsid w:val="002829A1"/>
    <w:rsid w:val="00284E95"/>
    <w:rsid w:val="00285500"/>
    <w:rsid w:val="00285D8E"/>
    <w:rsid w:val="00286830"/>
    <w:rsid w:val="0029088D"/>
    <w:rsid w:val="00291948"/>
    <w:rsid w:val="00292455"/>
    <w:rsid w:val="00292CC1"/>
    <w:rsid w:val="00294B92"/>
    <w:rsid w:val="00295D45"/>
    <w:rsid w:val="00296C65"/>
    <w:rsid w:val="002A08B5"/>
    <w:rsid w:val="002A0B3D"/>
    <w:rsid w:val="002A16A0"/>
    <w:rsid w:val="002A5BDC"/>
    <w:rsid w:val="002A7E66"/>
    <w:rsid w:val="002B1116"/>
    <w:rsid w:val="002B25EC"/>
    <w:rsid w:val="002B27A7"/>
    <w:rsid w:val="002B283D"/>
    <w:rsid w:val="002B3342"/>
    <w:rsid w:val="002B3C90"/>
    <w:rsid w:val="002B406C"/>
    <w:rsid w:val="002B716A"/>
    <w:rsid w:val="002B79DE"/>
    <w:rsid w:val="002C4442"/>
    <w:rsid w:val="002C4625"/>
    <w:rsid w:val="002C5736"/>
    <w:rsid w:val="002C6C0F"/>
    <w:rsid w:val="002C6D18"/>
    <w:rsid w:val="002C7402"/>
    <w:rsid w:val="002D0CC0"/>
    <w:rsid w:val="002D1C7D"/>
    <w:rsid w:val="002D4697"/>
    <w:rsid w:val="002D6FC3"/>
    <w:rsid w:val="002E1A11"/>
    <w:rsid w:val="002E3D27"/>
    <w:rsid w:val="002E4755"/>
    <w:rsid w:val="002E56A9"/>
    <w:rsid w:val="002E6973"/>
    <w:rsid w:val="002E7EF0"/>
    <w:rsid w:val="002F0188"/>
    <w:rsid w:val="002F11FF"/>
    <w:rsid w:val="002F42CC"/>
    <w:rsid w:val="002F4C26"/>
    <w:rsid w:val="002F5750"/>
    <w:rsid w:val="002F6025"/>
    <w:rsid w:val="002F62E4"/>
    <w:rsid w:val="002F68F2"/>
    <w:rsid w:val="002F7256"/>
    <w:rsid w:val="00300E90"/>
    <w:rsid w:val="0030100D"/>
    <w:rsid w:val="003013C9"/>
    <w:rsid w:val="00303FAD"/>
    <w:rsid w:val="0030431E"/>
    <w:rsid w:val="003043D8"/>
    <w:rsid w:val="00304B2D"/>
    <w:rsid w:val="0031162A"/>
    <w:rsid w:val="003136AF"/>
    <w:rsid w:val="003151CB"/>
    <w:rsid w:val="00315972"/>
    <w:rsid w:val="00315D2D"/>
    <w:rsid w:val="0031639B"/>
    <w:rsid w:val="00320D75"/>
    <w:rsid w:val="00321307"/>
    <w:rsid w:val="00322C95"/>
    <w:rsid w:val="0032313B"/>
    <w:rsid w:val="003234D3"/>
    <w:rsid w:val="00324348"/>
    <w:rsid w:val="00324C7E"/>
    <w:rsid w:val="003253D8"/>
    <w:rsid w:val="00325771"/>
    <w:rsid w:val="0032676B"/>
    <w:rsid w:val="0032723C"/>
    <w:rsid w:val="00327D83"/>
    <w:rsid w:val="00332257"/>
    <w:rsid w:val="0033255A"/>
    <w:rsid w:val="003361D3"/>
    <w:rsid w:val="00336A3A"/>
    <w:rsid w:val="00336F34"/>
    <w:rsid w:val="00336F5E"/>
    <w:rsid w:val="00337018"/>
    <w:rsid w:val="003373F7"/>
    <w:rsid w:val="0033793A"/>
    <w:rsid w:val="003404A6"/>
    <w:rsid w:val="00340FD2"/>
    <w:rsid w:val="00342433"/>
    <w:rsid w:val="00343E49"/>
    <w:rsid w:val="003448CE"/>
    <w:rsid w:val="00344946"/>
    <w:rsid w:val="00345058"/>
    <w:rsid w:val="003469F4"/>
    <w:rsid w:val="00346E81"/>
    <w:rsid w:val="00346F32"/>
    <w:rsid w:val="003478C5"/>
    <w:rsid w:val="003478FA"/>
    <w:rsid w:val="00351C9A"/>
    <w:rsid w:val="00352FB9"/>
    <w:rsid w:val="003537DB"/>
    <w:rsid w:val="00354905"/>
    <w:rsid w:val="00357701"/>
    <w:rsid w:val="0036082D"/>
    <w:rsid w:val="003645FC"/>
    <w:rsid w:val="0036523D"/>
    <w:rsid w:val="00365F22"/>
    <w:rsid w:val="003663DC"/>
    <w:rsid w:val="003668F0"/>
    <w:rsid w:val="0036699A"/>
    <w:rsid w:val="00370347"/>
    <w:rsid w:val="00370769"/>
    <w:rsid w:val="00372936"/>
    <w:rsid w:val="00372E21"/>
    <w:rsid w:val="00375C8F"/>
    <w:rsid w:val="003847C6"/>
    <w:rsid w:val="003850B3"/>
    <w:rsid w:val="00385C51"/>
    <w:rsid w:val="003861DD"/>
    <w:rsid w:val="0038687D"/>
    <w:rsid w:val="00390BA7"/>
    <w:rsid w:val="003914AF"/>
    <w:rsid w:val="003916A4"/>
    <w:rsid w:val="0039198D"/>
    <w:rsid w:val="0039241E"/>
    <w:rsid w:val="00392B92"/>
    <w:rsid w:val="00392CEB"/>
    <w:rsid w:val="003948E5"/>
    <w:rsid w:val="00394C51"/>
    <w:rsid w:val="003A15EB"/>
    <w:rsid w:val="003A21C5"/>
    <w:rsid w:val="003A3C4E"/>
    <w:rsid w:val="003A51EC"/>
    <w:rsid w:val="003B0CFB"/>
    <w:rsid w:val="003B279C"/>
    <w:rsid w:val="003B3F61"/>
    <w:rsid w:val="003B4FDA"/>
    <w:rsid w:val="003B4FDF"/>
    <w:rsid w:val="003B515D"/>
    <w:rsid w:val="003B634E"/>
    <w:rsid w:val="003B63B7"/>
    <w:rsid w:val="003B6AEC"/>
    <w:rsid w:val="003B7458"/>
    <w:rsid w:val="003B76DC"/>
    <w:rsid w:val="003C0EE0"/>
    <w:rsid w:val="003C4D19"/>
    <w:rsid w:val="003C5788"/>
    <w:rsid w:val="003C6663"/>
    <w:rsid w:val="003C6B1C"/>
    <w:rsid w:val="003D309C"/>
    <w:rsid w:val="003D3F68"/>
    <w:rsid w:val="003D4254"/>
    <w:rsid w:val="003D4827"/>
    <w:rsid w:val="003D5E17"/>
    <w:rsid w:val="003D77C7"/>
    <w:rsid w:val="003D7F25"/>
    <w:rsid w:val="003E097E"/>
    <w:rsid w:val="003E0ECD"/>
    <w:rsid w:val="003E24AE"/>
    <w:rsid w:val="003E3B67"/>
    <w:rsid w:val="003E3BEB"/>
    <w:rsid w:val="003E5E92"/>
    <w:rsid w:val="003E75A7"/>
    <w:rsid w:val="003E7BCB"/>
    <w:rsid w:val="003F1DAE"/>
    <w:rsid w:val="003F278C"/>
    <w:rsid w:val="003F3768"/>
    <w:rsid w:val="003F3E60"/>
    <w:rsid w:val="003F72F8"/>
    <w:rsid w:val="003F7BCA"/>
    <w:rsid w:val="00400E41"/>
    <w:rsid w:val="004021AE"/>
    <w:rsid w:val="00402E67"/>
    <w:rsid w:val="004035B4"/>
    <w:rsid w:val="0040397E"/>
    <w:rsid w:val="00403D30"/>
    <w:rsid w:val="00404C78"/>
    <w:rsid w:val="00406173"/>
    <w:rsid w:val="004066FD"/>
    <w:rsid w:val="00410A4A"/>
    <w:rsid w:val="00410E01"/>
    <w:rsid w:val="00411126"/>
    <w:rsid w:val="00412716"/>
    <w:rsid w:val="004128D7"/>
    <w:rsid w:val="00412D60"/>
    <w:rsid w:val="00412F15"/>
    <w:rsid w:val="00414827"/>
    <w:rsid w:val="00415329"/>
    <w:rsid w:val="00415F43"/>
    <w:rsid w:val="00421D3C"/>
    <w:rsid w:val="00422964"/>
    <w:rsid w:val="004229F5"/>
    <w:rsid w:val="00424A42"/>
    <w:rsid w:val="00425C27"/>
    <w:rsid w:val="00426E61"/>
    <w:rsid w:val="004323DB"/>
    <w:rsid w:val="004344BD"/>
    <w:rsid w:val="00436528"/>
    <w:rsid w:val="00437164"/>
    <w:rsid w:val="00437B1F"/>
    <w:rsid w:val="00440419"/>
    <w:rsid w:val="0044129B"/>
    <w:rsid w:val="00441B18"/>
    <w:rsid w:val="004422EA"/>
    <w:rsid w:val="00442558"/>
    <w:rsid w:val="0044273F"/>
    <w:rsid w:val="00443B6B"/>
    <w:rsid w:val="00443DB3"/>
    <w:rsid w:val="004448DE"/>
    <w:rsid w:val="0044554C"/>
    <w:rsid w:val="004458ED"/>
    <w:rsid w:val="004473C6"/>
    <w:rsid w:val="0045112A"/>
    <w:rsid w:val="004521DC"/>
    <w:rsid w:val="004523F6"/>
    <w:rsid w:val="004524B4"/>
    <w:rsid w:val="004528B4"/>
    <w:rsid w:val="0045334B"/>
    <w:rsid w:val="00455B34"/>
    <w:rsid w:val="0046340B"/>
    <w:rsid w:val="004640E7"/>
    <w:rsid w:val="0046481D"/>
    <w:rsid w:val="00464A0C"/>
    <w:rsid w:val="00465050"/>
    <w:rsid w:val="00467805"/>
    <w:rsid w:val="004712B1"/>
    <w:rsid w:val="00472F1A"/>
    <w:rsid w:val="004751E1"/>
    <w:rsid w:val="004754E0"/>
    <w:rsid w:val="00475933"/>
    <w:rsid w:val="00475A70"/>
    <w:rsid w:val="00476E96"/>
    <w:rsid w:val="00477B47"/>
    <w:rsid w:val="00477B93"/>
    <w:rsid w:val="00477DD8"/>
    <w:rsid w:val="00482026"/>
    <w:rsid w:val="004833B8"/>
    <w:rsid w:val="00483734"/>
    <w:rsid w:val="00483DD4"/>
    <w:rsid w:val="0048605F"/>
    <w:rsid w:val="004864EC"/>
    <w:rsid w:val="00491D7C"/>
    <w:rsid w:val="00492EBC"/>
    <w:rsid w:val="00493804"/>
    <w:rsid w:val="00493C75"/>
    <w:rsid w:val="00494B17"/>
    <w:rsid w:val="00494F03"/>
    <w:rsid w:val="00494F38"/>
    <w:rsid w:val="004A1B66"/>
    <w:rsid w:val="004A7AE1"/>
    <w:rsid w:val="004B02F6"/>
    <w:rsid w:val="004B17F3"/>
    <w:rsid w:val="004B26B2"/>
    <w:rsid w:val="004B42B1"/>
    <w:rsid w:val="004B5595"/>
    <w:rsid w:val="004B6370"/>
    <w:rsid w:val="004C1145"/>
    <w:rsid w:val="004C1F09"/>
    <w:rsid w:val="004C2F3D"/>
    <w:rsid w:val="004C5A67"/>
    <w:rsid w:val="004D18AB"/>
    <w:rsid w:val="004D28B0"/>
    <w:rsid w:val="004D347A"/>
    <w:rsid w:val="004D4452"/>
    <w:rsid w:val="004D4883"/>
    <w:rsid w:val="004D52B9"/>
    <w:rsid w:val="004D5442"/>
    <w:rsid w:val="004D5FD4"/>
    <w:rsid w:val="004D7E9B"/>
    <w:rsid w:val="004E0C74"/>
    <w:rsid w:val="004E14FF"/>
    <w:rsid w:val="004E163A"/>
    <w:rsid w:val="004E17E6"/>
    <w:rsid w:val="004E2558"/>
    <w:rsid w:val="004E310F"/>
    <w:rsid w:val="004E5B51"/>
    <w:rsid w:val="004F0115"/>
    <w:rsid w:val="004F076A"/>
    <w:rsid w:val="004F07B5"/>
    <w:rsid w:val="004F1106"/>
    <w:rsid w:val="004F1151"/>
    <w:rsid w:val="004F2312"/>
    <w:rsid w:val="004F26C6"/>
    <w:rsid w:val="004F3FD4"/>
    <w:rsid w:val="004F6459"/>
    <w:rsid w:val="00501AC5"/>
    <w:rsid w:val="00503564"/>
    <w:rsid w:val="00506020"/>
    <w:rsid w:val="00507914"/>
    <w:rsid w:val="0051015C"/>
    <w:rsid w:val="005124CA"/>
    <w:rsid w:val="00514B68"/>
    <w:rsid w:val="00515371"/>
    <w:rsid w:val="00515D52"/>
    <w:rsid w:val="00515FEE"/>
    <w:rsid w:val="00516780"/>
    <w:rsid w:val="00517B61"/>
    <w:rsid w:val="00521903"/>
    <w:rsid w:val="00523D3B"/>
    <w:rsid w:val="00524B1A"/>
    <w:rsid w:val="00524BD2"/>
    <w:rsid w:val="00525FA9"/>
    <w:rsid w:val="00525FFA"/>
    <w:rsid w:val="00526A36"/>
    <w:rsid w:val="005321A9"/>
    <w:rsid w:val="00533687"/>
    <w:rsid w:val="00533C10"/>
    <w:rsid w:val="005355D5"/>
    <w:rsid w:val="00535C32"/>
    <w:rsid w:val="0053603D"/>
    <w:rsid w:val="005372BD"/>
    <w:rsid w:val="00537458"/>
    <w:rsid w:val="0053793F"/>
    <w:rsid w:val="005405AD"/>
    <w:rsid w:val="00542566"/>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795B"/>
    <w:rsid w:val="00560A12"/>
    <w:rsid w:val="00563008"/>
    <w:rsid w:val="005638D3"/>
    <w:rsid w:val="00565F04"/>
    <w:rsid w:val="00567B2D"/>
    <w:rsid w:val="005700E7"/>
    <w:rsid w:val="00570F0C"/>
    <w:rsid w:val="00572D84"/>
    <w:rsid w:val="0057307C"/>
    <w:rsid w:val="00573AAB"/>
    <w:rsid w:val="0057431A"/>
    <w:rsid w:val="005753BD"/>
    <w:rsid w:val="005766C8"/>
    <w:rsid w:val="00576C2A"/>
    <w:rsid w:val="00580A3D"/>
    <w:rsid w:val="005831CB"/>
    <w:rsid w:val="00583BFC"/>
    <w:rsid w:val="005840EF"/>
    <w:rsid w:val="005847E3"/>
    <w:rsid w:val="0058489D"/>
    <w:rsid w:val="0059147D"/>
    <w:rsid w:val="00591EC0"/>
    <w:rsid w:val="0059345F"/>
    <w:rsid w:val="00596670"/>
    <w:rsid w:val="00597092"/>
    <w:rsid w:val="005970DF"/>
    <w:rsid w:val="005A01BD"/>
    <w:rsid w:val="005A5B3A"/>
    <w:rsid w:val="005A5F48"/>
    <w:rsid w:val="005A610A"/>
    <w:rsid w:val="005B34EB"/>
    <w:rsid w:val="005B3C87"/>
    <w:rsid w:val="005B48C8"/>
    <w:rsid w:val="005C088F"/>
    <w:rsid w:val="005C1072"/>
    <w:rsid w:val="005C1609"/>
    <w:rsid w:val="005C1E10"/>
    <w:rsid w:val="005C1F78"/>
    <w:rsid w:val="005C219F"/>
    <w:rsid w:val="005C513F"/>
    <w:rsid w:val="005C5507"/>
    <w:rsid w:val="005D2765"/>
    <w:rsid w:val="005D4504"/>
    <w:rsid w:val="005D52CF"/>
    <w:rsid w:val="005E1076"/>
    <w:rsid w:val="005E22CF"/>
    <w:rsid w:val="005E281A"/>
    <w:rsid w:val="005E4587"/>
    <w:rsid w:val="005E58E8"/>
    <w:rsid w:val="005E744D"/>
    <w:rsid w:val="005E7FE7"/>
    <w:rsid w:val="005F0C29"/>
    <w:rsid w:val="005F2FE2"/>
    <w:rsid w:val="005F4D5C"/>
    <w:rsid w:val="005F515E"/>
    <w:rsid w:val="005F5209"/>
    <w:rsid w:val="005F5E50"/>
    <w:rsid w:val="005F7DA1"/>
    <w:rsid w:val="00600F3A"/>
    <w:rsid w:val="00602D23"/>
    <w:rsid w:val="0060321A"/>
    <w:rsid w:val="006077E6"/>
    <w:rsid w:val="00610C19"/>
    <w:rsid w:val="00613906"/>
    <w:rsid w:val="006150B6"/>
    <w:rsid w:val="00615134"/>
    <w:rsid w:val="00615BAE"/>
    <w:rsid w:val="00616AB7"/>
    <w:rsid w:val="00616F60"/>
    <w:rsid w:val="0061785D"/>
    <w:rsid w:val="0062151F"/>
    <w:rsid w:val="006218B7"/>
    <w:rsid w:val="00621CE1"/>
    <w:rsid w:val="006224C5"/>
    <w:rsid w:val="00622A30"/>
    <w:rsid w:val="006230A5"/>
    <w:rsid w:val="00623E4E"/>
    <w:rsid w:val="0062413F"/>
    <w:rsid w:val="006244DC"/>
    <w:rsid w:val="006247F2"/>
    <w:rsid w:val="00626D1D"/>
    <w:rsid w:val="00626E4C"/>
    <w:rsid w:val="0063017C"/>
    <w:rsid w:val="00630C1B"/>
    <w:rsid w:val="0063192B"/>
    <w:rsid w:val="006324A5"/>
    <w:rsid w:val="006324ED"/>
    <w:rsid w:val="006379C1"/>
    <w:rsid w:val="00642728"/>
    <w:rsid w:val="00642C3D"/>
    <w:rsid w:val="00643565"/>
    <w:rsid w:val="00644B90"/>
    <w:rsid w:val="00646CB2"/>
    <w:rsid w:val="006505DC"/>
    <w:rsid w:val="00650FE5"/>
    <w:rsid w:val="00652572"/>
    <w:rsid w:val="00652F28"/>
    <w:rsid w:val="00654652"/>
    <w:rsid w:val="006546C9"/>
    <w:rsid w:val="00656067"/>
    <w:rsid w:val="00656A32"/>
    <w:rsid w:val="00656C7A"/>
    <w:rsid w:val="00661166"/>
    <w:rsid w:val="00661BA1"/>
    <w:rsid w:val="0066571F"/>
    <w:rsid w:val="00674F4B"/>
    <w:rsid w:val="0067599C"/>
    <w:rsid w:val="00677C94"/>
    <w:rsid w:val="00677EC3"/>
    <w:rsid w:val="00681608"/>
    <w:rsid w:val="00681BAD"/>
    <w:rsid w:val="00684169"/>
    <w:rsid w:val="006851EC"/>
    <w:rsid w:val="00685B57"/>
    <w:rsid w:val="00685DA5"/>
    <w:rsid w:val="00687E9D"/>
    <w:rsid w:val="006901BC"/>
    <w:rsid w:val="00691C49"/>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6832"/>
    <w:rsid w:val="006C2259"/>
    <w:rsid w:val="006D0858"/>
    <w:rsid w:val="006D36F9"/>
    <w:rsid w:val="006D533B"/>
    <w:rsid w:val="006D6402"/>
    <w:rsid w:val="006D6466"/>
    <w:rsid w:val="006D7254"/>
    <w:rsid w:val="006E04F9"/>
    <w:rsid w:val="006E1ED2"/>
    <w:rsid w:val="006E282E"/>
    <w:rsid w:val="006E3DE7"/>
    <w:rsid w:val="006E592A"/>
    <w:rsid w:val="006E6674"/>
    <w:rsid w:val="006E793E"/>
    <w:rsid w:val="006F08CA"/>
    <w:rsid w:val="006F202D"/>
    <w:rsid w:val="006F2845"/>
    <w:rsid w:val="006F3334"/>
    <w:rsid w:val="006F686D"/>
    <w:rsid w:val="006F7345"/>
    <w:rsid w:val="006F788B"/>
    <w:rsid w:val="006F7C19"/>
    <w:rsid w:val="007016DD"/>
    <w:rsid w:val="00702F6B"/>
    <w:rsid w:val="007030DB"/>
    <w:rsid w:val="00704EC0"/>
    <w:rsid w:val="00705934"/>
    <w:rsid w:val="00705D3A"/>
    <w:rsid w:val="00706A11"/>
    <w:rsid w:val="00707B89"/>
    <w:rsid w:val="00707D86"/>
    <w:rsid w:val="00710A5C"/>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07F9"/>
    <w:rsid w:val="00733A03"/>
    <w:rsid w:val="00733DF6"/>
    <w:rsid w:val="007356CC"/>
    <w:rsid w:val="00737153"/>
    <w:rsid w:val="007408DD"/>
    <w:rsid w:val="00742CD8"/>
    <w:rsid w:val="00744EA7"/>
    <w:rsid w:val="00745F5C"/>
    <w:rsid w:val="007464E7"/>
    <w:rsid w:val="007516ED"/>
    <w:rsid w:val="007518D4"/>
    <w:rsid w:val="0075365C"/>
    <w:rsid w:val="00754659"/>
    <w:rsid w:val="007554FC"/>
    <w:rsid w:val="0075563D"/>
    <w:rsid w:val="00755C4E"/>
    <w:rsid w:val="007563D4"/>
    <w:rsid w:val="00757585"/>
    <w:rsid w:val="007603AB"/>
    <w:rsid w:val="00761109"/>
    <w:rsid w:val="0076124F"/>
    <w:rsid w:val="00761592"/>
    <w:rsid w:val="00761D52"/>
    <w:rsid w:val="00766E0C"/>
    <w:rsid w:val="00766F26"/>
    <w:rsid w:val="00770975"/>
    <w:rsid w:val="007721F7"/>
    <w:rsid w:val="00772793"/>
    <w:rsid w:val="00776B10"/>
    <w:rsid w:val="00777C34"/>
    <w:rsid w:val="00780445"/>
    <w:rsid w:val="007809BD"/>
    <w:rsid w:val="00781712"/>
    <w:rsid w:val="00781719"/>
    <w:rsid w:val="00781F7A"/>
    <w:rsid w:val="0078216A"/>
    <w:rsid w:val="00784A3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A11"/>
    <w:rsid w:val="007A3579"/>
    <w:rsid w:val="007A387E"/>
    <w:rsid w:val="007A4DDD"/>
    <w:rsid w:val="007A6758"/>
    <w:rsid w:val="007B04DC"/>
    <w:rsid w:val="007B236D"/>
    <w:rsid w:val="007B3051"/>
    <w:rsid w:val="007B3BFC"/>
    <w:rsid w:val="007B3D66"/>
    <w:rsid w:val="007B3EAA"/>
    <w:rsid w:val="007B5DC8"/>
    <w:rsid w:val="007B652C"/>
    <w:rsid w:val="007B6BFA"/>
    <w:rsid w:val="007B77BD"/>
    <w:rsid w:val="007C050E"/>
    <w:rsid w:val="007C0647"/>
    <w:rsid w:val="007C12E2"/>
    <w:rsid w:val="007C1BEB"/>
    <w:rsid w:val="007C6243"/>
    <w:rsid w:val="007C7664"/>
    <w:rsid w:val="007C7755"/>
    <w:rsid w:val="007C7F78"/>
    <w:rsid w:val="007D13A5"/>
    <w:rsid w:val="007D1F25"/>
    <w:rsid w:val="007D388E"/>
    <w:rsid w:val="007D43A3"/>
    <w:rsid w:val="007D54F8"/>
    <w:rsid w:val="007D5CBC"/>
    <w:rsid w:val="007D788A"/>
    <w:rsid w:val="007E01B8"/>
    <w:rsid w:val="007E0292"/>
    <w:rsid w:val="007E2A67"/>
    <w:rsid w:val="007E5392"/>
    <w:rsid w:val="007E5B97"/>
    <w:rsid w:val="007E616F"/>
    <w:rsid w:val="007E6613"/>
    <w:rsid w:val="007F0469"/>
    <w:rsid w:val="007F07F6"/>
    <w:rsid w:val="007F0993"/>
    <w:rsid w:val="007F16AA"/>
    <w:rsid w:val="007F1F69"/>
    <w:rsid w:val="007F2F37"/>
    <w:rsid w:val="007F4029"/>
    <w:rsid w:val="007F4711"/>
    <w:rsid w:val="007F4E94"/>
    <w:rsid w:val="007F4F5D"/>
    <w:rsid w:val="007F5EB9"/>
    <w:rsid w:val="007F6197"/>
    <w:rsid w:val="00801240"/>
    <w:rsid w:val="00801694"/>
    <w:rsid w:val="00803F0F"/>
    <w:rsid w:val="00804D93"/>
    <w:rsid w:val="00805D5E"/>
    <w:rsid w:val="00806403"/>
    <w:rsid w:val="00810071"/>
    <w:rsid w:val="0081060F"/>
    <w:rsid w:val="00811F86"/>
    <w:rsid w:val="008145CD"/>
    <w:rsid w:val="00816581"/>
    <w:rsid w:val="00820E1D"/>
    <w:rsid w:val="00820E42"/>
    <w:rsid w:val="00821809"/>
    <w:rsid w:val="00824B23"/>
    <w:rsid w:val="00825CEF"/>
    <w:rsid w:val="00825F4D"/>
    <w:rsid w:val="00826975"/>
    <w:rsid w:val="008273B2"/>
    <w:rsid w:val="00830F28"/>
    <w:rsid w:val="00830FC5"/>
    <w:rsid w:val="00832731"/>
    <w:rsid w:val="00832BDC"/>
    <w:rsid w:val="00833A42"/>
    <w:rsid w:val="00836286"/>
    <w:rsid w:val="008405E6"/>
    <w:rsid w:val="00841321"/>
    <w:rsid w:val="00841952"/>
    <w:rsid w:val="008440E1"/>
    <w:rsid w:val="00845221"/>
    <w:rsid w:val="00845413"/>
    <w:rsid w:val="00845672"/>
    <w:rsid w:val="00846C4C"/>
    <w:rsid w:val="00854242"/>
    <w:rsid w:val="00855DEA"/>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5CB0"/>
    <w:rsid w:val="008771C0"/>
    <w:rsid w:val="0087768B"/>
    <w:rsid w:val="00881A3F"/>
    <w:rsid w:val="00882308"/>
    <w:rsid w:val="00882E69"/>
    <w:rsid w:val="00883654"/>
    <w:rsid w:val="008842E9"/>
    <w:rsid w:val="00886337"/>
    <w:rsid w:val="0089176E"/>
    <w:rsid w:val="00894262"/>
    <w:rsid w:val="0089453B"/>
    <w:rsid w:val="008A1272"/>
    <w:rsid w:val="008A5458"/>
    <w:rsid w:val="008B1599"/>
    <w:rsid w:val="008B169F"/>
    <w:rsid w:val="008B18D3"/>
    <w:rsid w:val="008B250A"/>
    <w:rsid w:val="008B3035"/>
    <w:rsid w:val="008B36EE"/>
    <w:rsid w:val="008B4516"/>
    <w:rsid w:val="008B563C"/>
    <w:rsid w:val="008B5A87"/>
    <w:rsid w:val="008B6DEE"/>
    <w:rsid w:val="008B72D6"/>
    <w:rsid w:val="008B7779"/>
    <w:rsid w:val="008B7939"/>
    <w:rsid w:val="008C02DE"/>
    <w:rsid w:val="008C20FA"/>
    <w:rsid w:val="008C269A"/>
    <w:rsid w:val="008C3E7B"/>
    <w:rsid w:val="008C3F79"/>
    <w:rsid w:val="008C53C6"/>
    <w:rsid w:val="008C6051"/>
    <w:rsid w:val="008C66CB"/>
    <w:rsid w:val="008C693A"/>
    <w:rsid w:val="008C6EFE"/>
    <w:rsid w:val="008D3850"/>
    <w:rsid w:val="008D3FA9"/>
    <w:rsid w:val="008D4CBB"/>
    <w:rsid w:val="008D5D8C"/>
    <w:rsid w:val="008D6CA8"/>
    <w:rsid w:val="008D75AB"/>
    <w:rsid w:val="008E1C48"/>
    <w:rsid w:val="008E35FC"/>
    <w:rsid w:val="008E4B4D"/>
    <w:rsid w:val="008E6DD5"/>
    <w:rsid w:val="008E72A9"/>
    <w:rsid w:val="008F1DA7"/>
    <w:rsid w:val="008F21B4"/>
    <w:rsid w:val="008F4164"/>
    <w:rsid w:val="008F543C"/>
    <w:rsid w:val="008F6896"/>
    <w:rsid w:val="008F71C0"/>
    <w:rsid w:val="00900444"/>
    <w:rsid w:val="00901897"/>
    <w:rsid w:val="00901DC1"/>
    <w:rsid w:val="0090244C"/>
    <w:rsid w:val="00902BCD"/>
    <w:rsid w:val="00902E77"/>
    <w:rsid w:val="00903E35"/>
    <w:rsid w:val="00905105"/>
    <w:rsid w:val="00905C98"/>
    <w:rsid w:val="00906935"/>
    <w:rsid w:val="009072A3"/>
    <w:rsid w:val="00910FA0"/>
    <w:rsid w:val="00911D95"/>
    <w:rsid w:val="00913C50"/>
    <w:rsid w:val="0091443F"/>
    <w:rsid w:val="00914E3B"/>
    <w:rsid w:val="009156B3"/>
    <w:rsid w:val="00916054"/>
    <w:rsid w:val="00920D12"/>
    <w:rsid w:val="00924DEB"/>
    <w:rsid w:val="009256BA"/>
    <w:rsid w:val="00932BCC"/>
    <w:rsid w:val="00932E49"/>
    <w:rsid w:val="00935CA3"/>
    <w:rsid w:val="00935F5F"/>
    <w:rsid w:val="00940A72"/>
    <w:rsid w:val="009435B7"/>
    <w:rsid w:val="00944B9F"/>
    <w:rsid w:val="00945BE4"/>
    <w:rsid w:val="00945CF3"/>
    <w:rsid w:val="009463E8"/>
    <w:rsid w:val="00947E9C"/>
    <w:rsid w:val="00947F22"/>
    <w:rsid w:val="00950310"/>
    <w:rsid w:val="0095040B"/>
    <w:rsid w:val="009513C5"/>
    <w:rsid w:val="009521D1"/>
    <w:rsid w:val="00952CC2"/>
    <w:rsid w:val="00952EE8"/>
    <w:rsid w:val="00953544"/>
    <w:rsid w:val="009537DC"/>
    <w:rsid w:val="0095392E"/>
    <w:rsid w:val="00953A3C"/>
    <w:rsid w:val="00953B5E"/>
    <w:rsid w:val="009545A7"/>
    <w:rsid w:val="00954C3E"/>
    <w:rsid w:val="00956127"/>
    <w:rsid w:val="0095636C"/>
    <w:rsid w:val="00956986"/>
    <w:rsid w:val="00964B7D"/>
    <w:rsid w:val="00965641"/>
    <w:rsid w:val="00965FB8"/>
    <w:rsid w:val="00966247"/>
    <w:rsid w:val="00967238"/>
    <w:rsid w:val="00970906"/>
    <w:rsid w:val="009727F1"/>
    <w:rsid w:val="00973F66"/>
    <w:rsid w:val="00974D18"/>
    <w:rsid w:val="00976E10"/>
    <w:rsid w:val="00976FF3"/>
    <w:rsid w:val="00977CDE"/>
    <w:rsid w:val="00982CB9"/>
    <w:rsid w:val="009860F2"/>
    <w:rsid w:val="00987B13"/>
    <w:rsid w:val="00990A79"/>
    <w:rsid w:val="009912B5"/>
    <w:rsid w:val="009928AF"/>
    <w:rsid w:val="00992BEB"/>
    <w:rsid w:val="009941B3"/>
    <w:rsid w:val="00995A9A"/>
    <w:rsid w:val="00997A7C"/>
    <w:rsid w:val="00997C45"/>
    <w:rsid w:val="009A00B3"/>
    <w:rsid w:val="009A09A5"/>
    <w:rsid w:val="009A4CA9"/>
    <w:rsid w:val="009A4E14"/>
    <w:rsid w:val="009A63B6"/>
    <w:rsid w:val="009A7BD9"/>
    <w:rsid w:val="009B033F"/>
    <w:rsid w:val="009B4688"/>
    <w:rsid w:val="009B6E19"/>
    <w:rsid w:val="009B76A3"/>
    <w:rsid w:val="009B7E97"/>
    <w:rsid w:val="009B7EAC"/>
    <w:rsid w:val="009C0AE7"/>
    <w:rsid w:val="009C0BC6"/>
    <w:rsid w:val="009C1267"/>
    <w:rsid w:val="009C5831"/>
    <w:rsid w:val="009D0B3B"/>
    <w:rsid w:val="009D0D4C"/>
    <w:rsid w:val="009D1660"/>
    <w:rsid w:val="009D2541"/>
    <w:rsid w:val="009D27F6"/>
    <w:rsid w:val="009D3F5E"/>
    <w:rsid w:val="009D60C9"/>
    <w:rsid w:val="009D6EE9"/>
    <w:rsid w:val="009D6F27"/>
    <w:rsid w:val="009E10A2"/>
    <w:rsid w:val="009E186E"/>
    <w:rsid w:val="009E3067"/>
    <w:rsid w:val="009E5A05"/>
    <w:rsid w:val="009F1745"/>
    <w:rsid w:val="009F1DDF"/>
    <w:rsid w:val="009F40BC"/>
    <w:rsid w:val="009F456D"/>
    <w:rsid w:val="00A01305"/>
    <w:rsid w:val="00A0183C"/>
    <w:rsid w:val="00A0249C"/>
    <w:rsid w:val="00A02E08"/>
    <w:rsid w:val="00A04169"/>
    <w:rsid w:val="00A0568B"/>
    <w:rsid w:val="00A05F1B"/>
    <w:rsid w:val="00A061F4"/>
    <w:rsid w:val="00A11915"/>
    <w:rsid w:val="00A14233"/>
    <w:rsid w:val="00A143A0"/>
    <w:rsid w:val="00A15376"/>
    <w:rsid w:val="00A164DA"/>
    <w:rsid w:val="00A167CE"/>
    <w:rsid w:val="00A168F2"/>
    <w:rsid w:val="00A16A19"/>
    <w:rsid w:val="00A16B34"/>
    <w:rsid w:val="00A1711F"/>
    <w:rsid w:val="00A17B6B"/>
    <w:rsid w:val="00A26A09"/>
    <w:rsid w:val="00A27C1C"/>
    <w:rsid w:val="00A27FAE"/>
    <w:rsid w:val="00A326B7"/>
    <w:rsid w:val="00A32C08"/>
    <w:rsid w:val="00A332C8"/>
    <w:rsid w:val="00A41EAF"/>
    <w:rsid w:val="00A45D02"/>
    <w:rsid w:val="00A4658B"/>
    <w:rsid w:val="00A47E0C"/>
    <w:rsid w:val="00A47FD0"/>
    <w:rsid w:val="00A502F5"/>
    <w:rsid w:val="00A522B7"/>
    <w:rsid w:val="00A528BE"/>
    <w:rsid w:val="00A53574"/>
    <w:rsid w:val="00A54195"/>
    <w:rsid w:val="00A54717"/>
    <w:rsid w:val="00A562E0"/>
    <w:rsid w:val="00A56F12"/>
    <w:rsid w:val="00A60FE4"/>
    <w:rsid w:val="00A6115E"/>
    <w:rsid w:val="00A62778"/>
    <w:rsid w:val="00A62D1A"/>
    <w:rsid w:val="00A62EBE"/>
    <w:rsid w:val="00A643DB"/>
    <w:rsid w:val="00A6690C"/>
    <w:rsid w:val="00A66D5F"/>
    <w:rsid w:val="00A67C69"/>
    <w:rsid w:val="00A67FDF"/>
    <w:rsid w:val="00A71D61"/>
    <w:rsid w:val="00A71DC2"/>
    <w:rsid w:val="00A72635"/>
    <w:rsid w:val="00A72FA5"/>
    <w:rsid w:val="00A7372F"/>
    <w:rsid w:val="00A75045"/>
    <w:rsid w:val="00A75054"/>
    <w:rsid w:val="00A766F3"/>
    <w:rsid w:val="00A76EAB"/>
    <w:rsid w:val="00A80491"/>
    <w:rsid w:val="00A82985"/>
    <w:rsid w:val="00A8374E"/>
    <w:rsid w:val="00A83AE5"/>
    <w:rsid w:val="00A8478F"/>
    <w:rsid w:val="00A8698C"/>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B65"/>
    <w:rsid w:val="00A97C42"/>
    <w:rsid w:val="00AA07F5"/>
    <w:rsid w:val="00AA1238"/>
    <w:rsid w:val="00AA2104"/>
    <w:rsid w:val="00AA2B1A"/>
    <w:rsid w:val="00AA706F"/>
    <w:rsid w:val="00AA75CD"/>
    <w:rsid w:val="00AB0B58"/>
    <w:rsid w:val="00AB12AD"/>
    <w:rsid w:val="00AB2DDA"/>
    <w:rsid w:val="00AB3123"/>
    <w:rsid w:val="00AB3C31"/>
    <w:rsid w:val="00AB4AEF"/>
    <w:rsid w:val="00AB737B"/>
    <w:rsid w:val="00AC00A4"/>
    <w:rsid w:val="00AC24EA"/>
    <w:rsid w:val="00AC2844"/>
    <w:rsid w:val="00AC67B5"/>
    <w:rsid w:val="00AC6C83"/>
    <w:rsid w:val="00AC6E84"/>
    <w:rsid w:val="00AD4713"/>
    <w:rsid w:val="00AD484F"/>
    <w:rsid w:val="00AD4C7A"/>
    <w:rsid w:val="00AD5801"/>
    <w:rsid w:val="00AD7F05"/>
    <w:rsid w:val="00AD7F90"/>
    <w:rsid w:val="00AE1689"/>
    <w:rsid w:val="00AE1984"/>
    <w:rsid w:val="00AE3C90"/>
    <w:rsid w:val="00AE44FC"/>
    <w:rsid w:val="00AE4EAE"/>
    <w:rsid w:val="00AE5D95"/>
    <w:rsid w:val="00AE6053"/>
    <w:rsid w:val="00AE6C59"/>
    <w:rsid w:val="00AF0DC7"/>
    <w:rsid w:val="00AF36C9"/>
    <w:rsid w:val="00AF3D53"/>
    <w:rsid w:val="00AF5DE3"/>
    <w:rsid w:val="00AF664B"/>
    <w:rsid w:val="00B00FAC"/>
    <w:rsid w:val="00B02078"/>
    <w:rsid w:val="00B0221B"/>
    <w:rsid w:val="00B02966"/>
    <w:rsid w:val="00B03C10"/>
    <w:rsid w:val="00B03DF2"/>
    <w:rsid w:val="00B04946"/>
    <w:rsid w:val="00B05888"/>
    <w:rsid w:val="00B106CA"/>
    <w:rsid w:val="00B10762"/>
    <w:rsid w:val="00B11271"/>
    <w:rsid w:val="00B11C4E"/>
    <w:rsid w:val="00B12379"/>
    <w:rsid w:val="00B13260"/>
    <w:rsid w:val="00B133E8"/>
    <w:rsid w:val="00B13E31"/>
    <w:rsid w:val="00B15EE4"/>
    <w:rsid w:val="00B1653E"/>
    <w:rsid w:val="00B17300"/>
    <w:rsid w:val="00B179A2"/>
    <w:rsid w:val="00B2043D"/>
    <w:rsid w:val="00B208AC"/>
    <w:rsid w:val="00B227DA"/>
    <w:rsid w:val="00B23893"/>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3C63"/>
    <w:rsid w:val="00B51D28"/>
    <w:rsid w:val="00B52402"/>
    <w:rsid w:val="00B52533"/>
    <w:rsid w:val="00B56597"/>
    <w:rsid w:val="00B567FF"/>
    <w:rsid w:val="00B56BE8"/>
    <w:rsid w:val="00B57445"/>
    <w:rsid w:val="00B60F90"/>
    <w:rsid w:val="00B6265E"/>
    <w:rsid w:val="00B628D7"/>
    <w:rsid w:val="00B62A9F"/>
    <w:rsid w:val="00B63DD5"/>
    <w:rsid w:val="00B64238"/>
    <w:rsid w:val="00B64A09"/>
    <w:rsid w:val="00B64D4F"/>
    <w:rsid w:val="00B65233"/>
    <w:rsid w:val="00B67D34"/>
    <w:rsid w:val="00B706E0"/>
    <w:rsid w:val="00B733B4"/>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6F55"/>
    <w:rsid w:val="00BA067D"/>
    <w:rsid w:val="00BA166C"/>
    <w:rsid w:val="00BA1865"/>
    <w:rsid w:val="00BA1A85"/>
    <w:rsid w:val="00BA22EC"/>
    <w:rsid w:val="00BA6780"/>
    <w:rsid w:val="00BA6F5D"/>
    <w:rsid w:val="00BB29BC"/>
    <w:rsid w:val="00BB3188"/>
    <w:rsid w:val="00BB3454"/>
    <w:rsid w:val="00BB46D7"/>
    <w:rsid w:val="00BB67C0"/>
    <w:rsid w:val="00BB6E4F"/>
    <w:rsid w:val="00BB70CC"/>
    <w:rsid w:val="00BC10CB"/>
    <w:rsid w:val="00BC3253"/>
    <w:rsid w:val="00BC4806"/>
    <w:rsid w:val="00BC7437"/>
    <w:rsid w:val="00BC756F"/>
    <w:rsid w:val="00BD11B7"/>
    <w:rsid w:val="00BD16D8"/>
    <w:rsid w:val="00BD2283"/>
    <w:rsid w:val="00BD3373"/>
    <w:rsid w:val="00BD3486"/>
    <w:rsid w:val="00BD6F49"/>
    <w:rsid w:val="00BE0E41"/>
    <w:rsid w:val="00BE18EA"/>
    <w:rsid w:val="00BE3951"/>
    <w:rsid w:val="00BE58AE"/>
    <w:rsid w:val="00BE59FE"/>
    <w:rsid w:val="00BE7B86"/>
    <w:rsid w:val="00BF06EC"/>
    <w:rsid w:val="00BF127C"/>
    <w:rsid w:val="00BF3A9E"/>
    <w:rsid w:val="00BF4993"/>
    <w:rsid w:val="00BF64C2"/>
    <w:rsid w:val="00BF7415"/>
    <w:rsid w:val="00C0181F"/>
    <w:rsid w:val="00C02491"/>
    <w:rsid w:val="00C031EC"/>
    <w:rsid w:val="00C04AAB"/>
    <w:rsid w:val="00C04F22"/>
    <w:rsid w:val="00C0504B"/>
    <w:rsid w:val="00C068A8"/>
    <w:rsid w:val="00C07351"/>
    <w:rsid w:val="00C113A6"/>
    <w:rsid w:val="00C11BE1"/>
    <w:rsid w:val="00C11C57"/>
    <w:rsid w:val="00C132E6"/>
    <w:rsid w:val="00C13E4F"/>
    <w:rsid w:val="00C148FA"/>
    <w:rsid w:val="00C14D0B"/>
    <w:rsid w:val="00C14F6C"/>
    <w:rsid w:val="00C1537B"/>
    <w:rsid w:val="00C1604B"/>
    <w:rsid w:val="00C21C9C"/>
    <w:rsid w:val="00C2236B"/>
    <w:rsid w:val="00C230CC"/>
    <w:rsid w:val="00C238D0"/>
    <w:rsid w:val="00C255EC"/>
    <w:rsid w:val="00C25888"/>
    <w:rsid w:val="00C2778F"/>
    <w:rsid w:val="00C27A73"/>
    <w:rsid w:val="00C31942"/>
    <w:rsid w:val="00C35692"/>
    <w:rsid w:val="00C37DEB"/>
    <w:rsid w:val="00C40635"/>
    <w:rsid w:val="00C42C00"/>
    <w:rsid w:val="00C433A3"/>
    <w:rsid w:val="00C44829"/>
    <w:rsid w:val="00C44CFC"/>
    <w:rsid w:val="00C4720F"/>
    <w:rsid w:val="00C473C3"/>
    <w:rsid w:val="00C5167F"/>
    <w:rsid w:val="00C51B50"/>
    <w:rsid w:val="00C51DAE"/>
    <w:rsid w:val="00C51DDB"/>
    <w:rsid w:val="00C53A8E"/>
    <w:rsid w:val="00C540E8"/>
    <w:rsid w:val="00C54D4E"/>
    <w:rsid w:val="00C556FD"/>
    <w:rsid w:val="00C55E52"/>
    <w:rsid w:val="00C55F72"/>
    <w:rsid w:val="00C56783"/>
    <w:rsid w:val="00C609B9"/>
    <w:rsid w:val="00C6133C"/>
    <w:rsid w:val="00C62059"/>
    <w:rsid w:val="00C62A33"/>
    <w:rsid w:val="00C6305C"/>
    <w:rsid w:val="00C655D6"/>
    <w:rsid w:val="00C65893"/>
    <w:rsid w:val="00C65DE2"/>
    <w:rsid w:val="00C6710D"/>
    <w:rsid w:val="00C679F2"/>
    <w:rsid w:val="00C71E26"/>
    <w:rsid w:val="00C72C46"/>
    <w:rsid w:val="00C75EAE"/>
    <w:rsid w:val="00C765C8"/>
    <w:rsid w:val="00C76BD9"/>
    <w:rsid w:val="00C77B5D"/>
    <w:rsid w:val="00C77F1D"/>
    <w:rsid w:val="00C80A3A"/>
    <w:rsid w:val="00C80BAA"/>
    <w:rsid w:val="00C82A37"/>
    <w:rsid w:val="00C8341F"/>
    <w:rsid w:val="00C85A42"/>
    <w:rsid w:val="00C862A0"/>
    <w:rsid w:val="00C904E0"/>
    <w:rsid w:val="00C92907"/>
    <w:rsid w:val="00C93087"/>
    <w:rsid w:val="00C93296"/>
    <w:rsid w:val="00C93C0E"/>
    <w:rsid w:val="00C93F41"/>
    <w:rsid w:val="00C96826"/>
    <w:rsid w:val="00C96E01"/>
    <w:rsid w:val="00CA0170"/>
    <w:rsid w:val="00CA1DA9"/>
    <w:rsid w:val="00CA2694"/>
    <w:rsid w:val="00CA297A"/>
    <w:rsid w:val="00CA4CC9"/>
    <w:rsid w:val="00CA64DC"/>
    <w:rsid w:val="00CB413D"/>
    <w:rsid w:val="00CB47CD"/>
    <w:rsid w:val="00CB4C1C"/>
    <w:rsid w:val="00CB75E2"/>
    <w:rsid w:val="00CC1B38"/>
    <w:rsid w:val="00CC493F"/>
    <w:rsid w:val="00CC6516"/>
    <w:rsid w:val="00CD1B68"/>
    <w:rsid w:val="00CD3E2E"/>
    <w:rsid w:val="00CD4164"/>
    <w:rsid w:val="00CD713A"/>
    <w:rsid w:val="00CE1198"/>
    <w:rsid w:val="00CE1CC6"/>
    <w:rsid w:val="00CE22F7"/>
    <w:rsid w:val="00CE42C7"/>
    <w:rsid w:val="00CE7143"/>
    <w:rsid w:val="00CF39F0"/>
    <w:rsid w:val="00CF5463"/>
    <w:rsid w:val="00CF5870"/>
    <w:rsid w:val="00CF71C9"/>
    <w:rsid w:val="00CF71F6"/>
    <w:rsid w:val="00CF7567"/>
    <w:rsid w:val="00D0071E"/>
    <w:rsid w:val="00D00FE0"/>
    <w:rsid w:val="00D02FF5"/>
    <w:rsid w:val="00D03139"/>
    <w:rsid w:val="00D0615D"/>
    <w:rsid w:val="00D07F9C"/>
    <w:rsid w:val="00D105D7"/>
    <w:rsid w:val="00D13AA7"/>
    <w:rsid w:val="00D1492C"/>
    <w:rsid w:val="00D14960"/>
    <w:rsid w:val="00D14C59"/>
    <w:rsid w:val="00D15EF0"/>
    <w:rsid w:val="00D16227"/>
    <w:rsid w:val="00D17738"/>
    <w:rsid w:val="00D21C2F"/>
    <w:rsid w:val="00D24072"/>
    <w:rsid w:val="00D2463C"/>
    <w:rsid w:val="00D2481A"/>
    <w:rsid w:val="00D2517E"/>
    <w:rsid w:val="00D26ACE"/>
    <w:rsid w:val="00D271DC"/>
    <w:rsid w:val="00D27453"/>
    <w:rsid w:val="00D27A98"/>
    <w:rsid w:val="00D27BCA"/>
    <w:rsid w:val="00D27F1A"/>
    <w:rsid w:val="00D32167"/>
    <w:rsid w:val="00D33B1D"/>
    <w:rsid w:val="00D33C86"/>
    <w:rsid w:val="00D33CEC"/>
    <w:rsid w:val="00D34690"/>
    <w:rsid w:val="00D35015"/>
    <w:rsid w:val="00D352BF"/>
    <w:rsid w:val="00D37D06"/>
    <w:rsid w:val="00D404E1"/>
    <w:rsid w:val="00D40D24"/>
    <w:rsid w:val="00D43B53"/>
    <w:rsid w:val="00D45318"/>
    <w:rsid w:val="00D472BD"/>
    <w:rsid w:val="00D47E7F"/>
    <w:rsid w:val="00D50DFD"/>
    <w:rsid w:val="00D55168"/>
    <w:rsid w:val="00D55C33"/>
    <w:rsid w:val="00D5641C"/>
    <w:rsid w:val="00D569C9"/>
    <w:rsid w:val="00D56A1D"/>
    <w:rsid w:val="00D5738E"/>
    <w:rsid w:val="00D57810"/>
    <w:rsid w:val="00D57BF9"/>
    <w:rsid w:val="00D62F97"/>
    <w:rsid w:val="00D63655"/>
    <w:rsid w:val="00D6472B"/>
    <w:rsid w:val="00D64E58"/>
    <w:rsid w:val="00D65807"/>
    <w:rsid w:val="00D65A32"/>
    <w:rsid w:val="00D669AE"/>
    <w:rsid w:val="00D70A8F"/>
    <w:rsid w:val="00D71D78"/>
    <w:rsid w:val="00D777CD"/>
    <w:rsid w:val="00D81DBA"/>
    <w:rsid w:val="00D81E5E"/>
    <w:rsid w:val="00D82099"/>
    <w:rsid w:val="00D82C4E"/>
    <w:rsid w:val="00D8355D"/>
    <w:rsid w:val="00D841C1"/>
    <w:rsid w:val="00D84C8D"/>
    <w:rsid w:val="00D86495"/>
    <w:rsid w:val="00D86BEF"/>
    <w:rsid w:val="00D9074F"/>
    <w:rsid w:val="00D90B2E"/>
    <w:rsid w:val="00D923B2"/>
    <w:rsid w:val="00D92FDC"/>
    <w:rsid w:val="00D941A7"/>
    <w:rsid w:val="00D948BA"/>
    <w:rsid w:val="00D954E8"/>
    <w:rsid w:val="00D968D3"/>
    <w:rsid w:val="00D97C1A"/>
    <w:rsid w:val="00DA0350"/>
    <w:rsid w:val="00DA2665"/>
    <w:rsid w:val="00DA427B"/>
    <w:rsid w:val="00DB167E"/>
    <w:rsid w:val="00DB1F84"/>
    <w:rsid w:val="00DB2CD1"/>
    <w:rsid w:val="00DB3CE3"/>
    <w:rsid w:val="00DB589E"/>
    <w:rsid w:val="00DC040E"/>
    <w:rsid w:val="00DC54FA"/>
    <w:rsid w:val="00DD183E"/>
    <w:rsid w:val="00DD1E41"/>
    <w:rsid w:val="00DD1FF5"/>
    <w:rsid w:val="00DD2DDB"/>
    <w:rsid w:val="00DD4226"/>
    <w:rsid w:val="00DD466E"/>
    <w:rsid w:val="00DD4C55"/>
    <w:rsid w:val="00DE3A85"/>
    <w:rsid w:val="00DE4E36"/>
    <w:rsid w:val="00DE7EFE"/>
    <w:rsid w:val="00DF03F7"/>
    <w:rsid w:val="00DF0BCB"/>
    <w:rsid w:val="00DF2153"/>
    <w:rsid w:val="00DF36A2"/>
    <w:rsid w:val="00DF469C"/>
    <w:rsid w:val="00DF514C"/>
    <w:rsid w:val="00DF5F93"/>
    <w:rsid w:val="00DF62AB"/>
    <w:rsid w:val="00DF6DB0"/>
    <w:rsid w:val="00E00457"/>
    <w:rsid w:val="00E01D94"/>
    <w:rsid w:val="00E02459"/>
    <w:rsid w:val="00E055EC"/>
    <w:rsid w:val="00E10096"/>
    <w:rsid w:val="00E109A7"/>
    <w:rsid w:val="00E10AE1"/>
    <w:rsid w:val="00E13628"/>
    <w:rsid w:val="00E13BA1"/>
    <w:rsid w:val="00E13E14"/>
    <w:rsid w:val="00E15804"/>
    <w:rsid w:val="00E20032"/>
    <w:rsid w:val="00E25D85"/>
    <w:rsid w:val="00E30052"/>
    <w:rsid w:val="00E30905"/>
    <w:rsid w:val="00E31CE5"/>
    <w:rsid w:val="00E3371E"/>
    <w:rsid w:val="00E346EF"/>
    <w:rsid w:val="00E347FC"/>
    <w:rsid w:val="00E351BF"/>
    <w:rsid w:val="00E35D18"/>
    <w:rsid w:val="00E37023"/>
    <w:rsid w:val="00E37129"/>
    <w:rsid w:val="00E40261"/>
    <w:rsid w:val="00E429B7"/>
    <w:rsid w:val="00E42EA2"/>
    <w:rsid w:val="00E43178"/>
    <w:rsid w:val="00E4338B"/>
    <w:rsid w:val="00E4425D"/>
    <w:rsid w:val="00E444D9"/>
    <w:rsid w:val="00E4493B"/>
    <w:rsid w:val="00E44BED"/>
    <w:rsid w:val="00E45E97"/>
    <w:rsid w:val="00E4632D"/>
    <w:rsid w:val="00E4740C"/>
    <w:rsid w:val="00E476FA"/>
    <w:rsid w:val="00E50986"/>
    <w:rsid w:val="00E50A34"/>
    <w:rsid w:val="00E51B00"/>
    <w:rsid w:val="00E51CF8"/>
    <w:rsid w:val="00E54205"/>
    <w:rsid w:val="00E549F1"/>
    <w:rsid w:val="00E565B4"/>
    <w:rsid w:val="00E56669"/>
    <w:rsid w:val="00E601ED"/>
    <w:rsid w:val="00E617FA"/>
    <w:rsid w:val="00E62DFC"/>
    <w:rsid w:val="00E64630"/>
    <w:rsid w:val="00E64C7D"/>
    <w:rsid w:val="00E674C8"/>
    <w:rsid w:val="00E67935"/>
    <w:rsid w:val="00E67DC8"/>
    <w:rsid w:val="00E708A4"/>
    <w:rsid w:val="00E745DF"/>
    <w:rsid w:val="00E74B2D"/>
    <w:rsid w:val="00E763E8"/>
    <w:rsid w:val="00E76F38"/>
    <w:rsid w:val="00E8095D"/>
    <w:rsid w:val="00E841FD"/>
    <w:rsid w:val="00E84B17"/>
    <w:rsid w:val="00E84B1D"/>
    <w:rsid w:val="00E8666C"/>
    <w:rsid w:val="00E91BD7"/>
    <w:rsid w:val="00E91C5D"/>
    <w:rsid w:val="00E96D2F"/>
    <w:rsid w:val="00E96E03"/>
    <w:rsid w:val="00E97143"/>
    <w:rsid w:val="00E97EA0"/>
    <w:rsid w:val="00EA1603"/>
    <w:rsid w:val="00EA197C"/>
    <w:rsid w:val="00EA20BE"/>
    <w:rsid w:val="00EA235E"/>
    <w:rsid w:val="00EA2DE4"/>
    <w:rsid w:val="00EA393F"/>
    <w:rsid w:val="00EA4842"/>
    <w:rsid w:val="00EB0382"/>
    <w:rsid w:val="00EB18E7"/>
    <w:rsid w:val="00EB18EC"/>
    <w:rsid w:val="00EB7DF0"/>
    <w:rsid w:val="00EC00FA"/>
    <w:rsid w:val="00EC26DA"/>
    <w:rsid w:val="00EC393E"/>
    <w:rsid w:val="00EC598B"/>
    <w:rsid w:val="00EC7E06"/>
    <w:rsid w:val="00ED1443"/>
    <w:rsid w:val="00ED1B5F"/>
    <w:rsid w:val="00EE05BC"/>
    <w:rsid w:val="00EE19A5"/>
    <w:rsid w:val="00EE34BB"/>
    <w:rsid w:val="00EE5296"/>
    <w:rsid w:val="00EE718E"/>
    <w:rsid w:val="00EF0D1F"/>
    <w:rsid w:val="00EF10E9"/>
    <w:rsid w:val="00EF11B6"/>
    <w:rsid w:val="00EF4B65"/>
    <w:rsid w:val="00F00895"/>
    <w:rsid w:val="00F008B0"/>
    <w:rsid w:val="00F01FF2"/>
    <w:rsid w:val="00F032D7"/>
    <w:rsid w:val="00F059E6"/>
    <w:rsid w:val="00F06356"/>
    <w:rsid w:val="00F07DD9"/>
    <w:rsid w:val="00F11C47"/>
    <w:rsid w:val="00F12013"/>
    <w:rsid w:val="00F127E0"/>
    <w:rsid w:val="00F13BE4"/>
    <w:rsid w:val="00F1668D"/>
    <w:rsid w:val="00F16D1E"/>
    <w:rsid w:val="00F17D87"/>
    <w:rsid w:val="00F244E4"/>
    <w:rsid w:val="00F247A2"/>
    <w:rsid w:val="00F24E68"/>
    <w:rsid w:val="00F26169"/>
    <w:rsid w:val="00F2739B"/>
    <w:rsid w:val="00F3137B"/>
    <w:rsid w:val="00F3172D"/>
    <w:rsid w:val="00F32201"/>
    <w:rsid w:val="00F340DC"/>
    <w:rsid w:val="00F34B70"/>
    <w:rsid w:val="00F34DF4"/>
    <w:rsid w:val="00F36530"/>
    <w:rsid w:val="00F36841"/>
    <w:rsid w:val="00F408FD"/>
    <w:rsid w:val="00F4107B"/>
    <w:rsid w:val="00F41331"/>
    <w:rsid w:val="00F4139E"/>
    <w:rsid w:val="00F43D92"/>
    <w:rsid w:val="00F44AB3"/>
    <w:rsid w:val="00F451BD"/>
    <w:rsid w:val="00F47AD4"/>
    <w:rsid w:val="00F5033E"/>
    <w:rsid w:val="00F50DBD"/>
    <w:rsid w:val="00F526CB"/>
    <w:rsid w:val="00F5574B"/>
    <w:rsid w:val="00F575E3"/>
    <w:rsid w:val="00F5762E"/>
    <w:rsid w:val="00F6090D"/>
    <w:rsid w:val="00F61AD5"/>
    <w:rsid w:val="00F63F3F"/>
    <w:rsid w:val="00F647BB"/>
    <w:rsid w:val="00F65AC8"/>
    <w:rsid w:val="00F66226"/>
    <w:rsid w:val="00F67398"/>
    <w:rsid w:val="00F70F11"/>
    <w:rsid w:val="00F7317D"/>
    <w:rsid w:val="00F73A35"/>
    <w:rsid w:val="00F76391"/>
    <w:rsid w:val="00F7721F"/>
    <w:rsid w:val="00F80F8C"/>
    <w:rsid w:val="00F8205D"/>
    <w:rsid w:val="00F8301E"/>
    <w:rsid w:val="00F84BB0"/>
    <w:rsid w:val="00F8575B"/>
    <w:rsid w:val="00F85DEB"/>
    <w:rsid w:val="00F86098"/>
    <w:rsid w:val="00F901A6"/>
    <w:rsid w:val="00F91276"/>
    <w:rsid w:val="00F93B42"/>
    <w:rsid w:val="00F93D9F"/>
    <w:rsid w:val="00F958AF"/>
    <w:rsid w:val="00F97C04"/>
    <w:rsid w:val="00FA1A53"/>
    <w:rsid w:val="00FA28C0"/>
    <w:rsid w:val="00FA4702"/>
    <w:rsid w:val="00FA4AD7"/>
    <w:rsid w:val="00FA773A"/>
    <w:rsid w:val="00FB0571"/>
    <w:rsid w:val="00FB23CD"/>
    <w:rsid w:val="00FB2D75"/>
    <w:rsid w:val="00FB2D97"/>
    <w:rsid w:val="00FB3EA7"/>
    <w:rsid w:val="00FB4F6E"/>
    <w:rsid w:val="00FB5AF2"/>
    <w:rsid w:val="00FB6A62"/>
    <w:rsid w:val="00FC0C32"/>
    <w:rsid w:val="00FC191E"/>
    <w:rsid w:val="00FC59F6"/>
    <w:rsid w:val="00FC5EF5"/>
    <w:rsid w:val="00FD0E62"/>
    <w:rsid w:val="00FD2E55"/>
    <w:rsid w:val="00FD3A03"/>
    <w:rsid w:val="00FD7BE2"/>
    <w:rsid w:val="00FD7F02"/>
    <w:rsid w:val="00FD7F33"/>
    <w:rsid w:val="00FE0A73"/>
    <w:rsid w:val="00FE17F2"/>
    <w:rsid w:val="00FE206A"/>
    <w:rsid w:val="00FE43DA"/>
    <w:rsid w:val="00FE4404"/>
    <w:rsid w:val="00FE5A8B"/>
    <w:rsid w:val="00FE5F72"/>
    <w:rsid w:val="00FE6A40"/>
    <w:rsid w:val="00FE755B"/>
    <w:rsid w:val="00FF0411"/>
    <w:rsid w:val="00FF2ABD"/>
    <w:rsid w:val="00FF482C"/>
    <w:rsid w:val="00FF6C9A"/>
    <w:rsid w:val="00FF7492"/>
    <w:rsid w:val="04E04218"/>
    <w:rsid w:val="051F4579"/>
    <w:rsid w:val="0DBC3817"/>
    <w:rsid w:val="0FB00BF3"/>
    <w:rsid w:val="28EE268E"/>
    <w:rsid w:val="30B71989"/>
    <w:rsid w:val="3C180B2F"/>
    <w:rsid w:val="3E34244A"/>
    <w:rsid w:val="52DC0984"/>
    <w:rsid w:val="5875165E"/>
    <w:rsid w:val="5A9D2A0D"/>
    <w:rsid w:val="5E794DA0"/>
    <w:rsid w:val="607B7A2E"/>
    <w:rsid w:val="61290B99"/>
    <w:rsid w:val="61B2122D"/>
    <w:rsid w:val="6333606A"/>
    <w:rsid w:val="670646AA"/>
    <w:rsid w:val="6B63324D"/>
    <w:rsid w:val="6D317DF2"/>
    <w:rsid w:val="71890614"/>
    <w:rsid w:val="74814FE9"/>
    <w:rsid w:val="780505F7"/>
    <w:rsid w:val="7A054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jc w:val="both"/>
    </w:pPr>
    <w:rPr>
      <w:rFonts w:ascii="Times New Roman" w:hAnsi="Times New Roman" w:eastAsia="宋体" w:cs="Times New Roman"/>
      <w:kern w:val="2"/>
      <w:sz w:val="21"/>
      <w:lang w:val="en-US" w:eastAsia="zh-CN" w:bidi="ar-SA"/>
    </w:rPr>
  </w:style>
  <w:style w:type="paragraph" w:styleId="2">
    <w:name w:val="heading 1"/>
    <w:basedOn w:val="1"/>
    <w:next w:val="3"/>
    <w:autoRedefine/>
    <w:qFormat/>
    <w:uiPriority w:val="0"/>
    <w:pPr>
      <w:keepNext/>
      <w:keepLines/>
      <w:numPr>
        <w:ilvl w:val="0"/>
        <w:numId w:val="1"/>
      </w:numPr>
      <w:tabs>
        <w:tab w:val="left" w:pos="318"/>
        <w:tab w:val="left" w:pos="360"/>
      </w:tabs>
      <w:adjustRightInd w:val="0"/>
      <w:spacing w:before="160" w:after="160"/>
      <w:jc w:val="left"/>
      <w:textAlignment w:val="baseline"/>
      <w:outlineLvl w:val="0"/>
    </w:pPr>
    <w:rPr>
      <w:rFonts w:eastAsia="黑体"/>
      <w:kern w:val="0"/>
      <w:sz w:val="28"/>
    </w:rPr>
  </w:style>
  <w:style w:type="paragraph" w:styleId="4">
    <w:name w:val="heading 2"/>
    <w:basedOn w:val="1"/>
    <w:next w:val="3"/>
    <w:link w:val="81"/>
    <w:autoRedefine/>
    <w:qFormat/>
    <w:uiPriority w:val="0"/>
    <w:pPr>
      <w:keepNext/>
      <w:keepLines/>
      <w:numPr>
        <w:ilvl w:val="1"/>
        <w:numId w:val="1"/>
      </w:numPr>
      <w:tabs>
        <w:tab w:val="left" w:pos="360"/>
        <w:tab w:val="left" w:pos="414"/>
      </w:tabs>
      <w:autoSpaceDE w:val="0"/>
      <w:autoSpaceDN w:val="0"/>
      <w:adjustRightInd w:val="0"/>
      <w:spacing w:before="25" w:beforeLines="25" w:after="25" w:afterLines="25"/>
      <w:jc w:val="left"/>
      <w:textAlignment w:val="baseline"/>
      <w:outlineLvl w:val="1"/>
    </w:pPr>
    <w:rPr>
      <w:rFonts w:eastAsia="黑体"/>
      <w:kern w:val="0"/>
      <w:sz w:val="21"/>
    </w:rPr>
  </w:style>
  <w:style w:type="paragraph" w:styleId="5">
    <w:name w:val="heading 3"/>
    <w:basedOn w:val="1"/>
    <w:next w:val="3"/>
    <w:autoRedefine/>
    <w:qFormat/>
    <w:uiPriority w:val="0"/>
    <w:pPr>
      <w:keepNext/>
      <w:keepLines/>
      <w:tabs>
        <w:tab w:val="left" w:pos="561"/>
        <w:tab w:val="left" w:pos="720"/>
      </w:tabs>
      <w:jc w:val="left"/>
      <w:outlineLvl w:val="2"/>
    </w:pPr>
    <w:rPr>
      <w:sz w:val="21"/>
      <w:szCs w:val="21"/>
    </w:rPr>
  </w:style>
  <w:style w:type="paragraph" w:styleId="6">
    <w:name w:val="heading 4"/>
    <w:basedOn w:val="1"/>
    <w:next w:val="1"/>
    <w:autoRedefine/>
    <w:qFormat/>
    <w:uiPriority w:val="0"/>
    <w:pPr>
      <w:keepNext/>
      <w:keepLines/>
      <w:numPr>
        <w:ilvl w:val="3"/>
        <w:numId w:val="1"/>
      </w:numPr>
      <w:jc w:val="left"/>
      <w:outlineLvl w:val="3"/>
    </w:pPr>
    <w:rPr>
      <w:rFonts w:ascii="Arial" w:hAnsi="Arial" w:eastAsia="黑体"/>
    </w:rPr>
  </w:style>
  <w:style w:type="paragraph" w:styleId="7">
    <w:name w:val="heading 5"/>
    <w:basedOn w:val="1"/>
    <w:next w:val="1"/>
    <w:autoRedefine/>
    <w:qFormat/>
    <w:uiPriority w:val="0"/>
    <w:pPr>
      <w:keepNext/>
      <w:keepLines/>
      <w:numPr>
        <w:ilvl w:val="4"/>
        <w:numId w:val="1"/>
      </w:numPr>
      <w:spacing w:before="280" w:after="290" w:line="376" w:lineRule="auto"/>
      <w:outlineLvl w:val="4"/>
    </w:pPr>
    <w:rPr>
      <w:b/>
      <w:sz w:val="28"/>
    </w:rPr>
  </w:style>
  <w:style w:type="paragraph" w:styleId="8">
    <w:name w:val="heading 6"/>
    <w:basedOn w:val="1"/>
    <w:next w:val="1"/>
    <w:autoRedefine/>
    <w:qFormat/>
    <w:uiPriority w:val="0"/>
    <w:pPr>
      <w:keepNext/>
      <w:keepLines/>
      <w:numPr>
        <w:ilvl w:val="5"/>
        <w:numId w:val="1"/>
      </w:numPr>
      <w:spacing w:before="240" w:after="64"/>
      <w:jc w:val="left"/>
      <w:outlineLvl w:val="5"/>
    </w:pPr>
  </w:style>
  <w:style w:type="paragraph" w:styleId="9">
    <w:name w:val="heading 7"/>
    <w:basedOn w:val="1"/>
    <w:next w:val="1"/>
    <w:autoRedefine/>
    <w:qFormat/>
    <w:uiPriority w:val="0"/>
    <w:pPr>
      <w:keepNext/>
      <w:keepLines/>
      <w:numPr>
        <w:ilvl w:val="6"/>
        <w:numId w:val="1"/>
      </w:numPr>
      <w:spacing w:before="240" w:after="64" w:line="320" w:lineRule="auto"/>
      <w:outlineLvl w:val="6"/>
    </w:pPr>
    <w:rPr>
      <w:b/>
      <w:sz w:val="24"/>
    </w:rPr>
  </w:style>
  <w:style w:type="paragraph" w:styleId="10">
    <w:name w:val="heading 8"/>
    <w:basedOn w:val="1"/>
    <w:next w:val="1"/>
    <w:autoRedefine/>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autoRedefine/>
    <w:qFormat/>
    <w:uiPriority w:val="0"/>
    <w:pPr>
      <w:keepNext/>
      <w:keepLines/>
      <w:numPr>
        <w:ilvl w:val="8"/>
        <w:numId w:val="1"/>
      </w:numPr>
      <w:spacing w:before="240" w:after="64" w:line="320" w:lineRule="auto"/>
      <w:outlineLvl w:val="8"/>
    </w:pPr>
    <w:rPr>
      <w:rFonts w:ascii="Arial" w:hAnsi="Arial" w:eastAsia="黑体"/>
    </w:rPr>
  </w:style>
  <w:style w:type="character" w:default="1" w:styleId="28">
    <w:name w:val="Default Paragraph Font"/>
    <w:autoRedefine/>
    <w:semiHidden/>
    <w:unhideWhenUsed/>
    <w:qFormat/>
    <w:uiPriority w:val="1"/>
  </w:style>
  <w:style w:type="table" w:default="1" w:styleId="26">
    <w:name w:val="Normal Table"/>
    <w:autoRedefine/>
    <w:semiHidden/>
    <w:unhideWhenUsed/>
    <w:qFormat/>
    <w:uiPriority w:val="99"/>
    <w:tblPr>
      <w:tblCellMar>
        <w:top w:w="0" w:type="dxa"/>
        <w:left w:w="108" w:type="dxa"/>
        <w:bottom w:w="0" w:type="dxa"/>
        <w:right w:w="108" w:type="dxa"/>
      </w:tblCellMar>
    </w:tblPr>
  </w:style>
  <w:style w:type="paragraph" w:styleId="3">
    <w:name w:val="Body Text"/>
    <w:basedOn w:val="1"/>
    <w:autoRedefine/>
    <w:qFormat/>
    <w:uiPriority w:val="0"/>
    <w:pPr>
      <w:tabs>
        <w:tab w:val="left" w:pos="357"/>
      </w:tabs>
      <w:ind w:firstLine="200" w:firstLineChars="200"/>
    </w:pPr>
  </w:style>
  <w:style w:type="paragraph" w:styleId="12">
    <w:name w:val="caption"/>
    <w:basedOn w:val="1"/>
    <w:next w:val="1"/>
    <w:autoRedefine/>
    <w:qFormat/>
    <w:uiPriority w:val="0"/>
    <w:pPr>
      <w:spacing w:before="152" w:after="160"/>
    </w:pPr>
    <w:rPr>
      <w:rFonts w:ascii="Arial" w:hAnsi="Arial" w:eastAsia="黑体"/>
    </w:rPr>
  </w:style>
  <w:style w:type="paragraph" w:styleId="13">
    <w:name w:val="Document Map"/>
    <w:basedOn w:val="1"/>
    <w:semiHidden/>
    <w:qFormat/>
    <w:uiPriority w:val="0"/>
    <w:pPr>
      <w:shd w:val="clear" w:color="auto" w:fill="000080"/>
    </w:pPr>
  </w:style>
  <w:style w:type="paragraph" w:styleId="14">
    <w:name w:val="annotation text"/>
    <w:basedOn w:val="1"/>
    <w:link w:val="96"/>
    <w:autoRedefine/>
    <w:semiHidden/>
    <w:qFormat/>
    <w:uiPriority w:val="0"/>
    <w:pPr>
      <w:jc w:val="left"/>
    </w:pPr>
  </w:style>
  <w:style w:type="paragraph" w:styleId="15">
    <w:name w:val="Balloon Text"/>
    <w:basedOn w:val="1"/>
    <w:link w:val="97"/>
    <w:autoRedefine/>
    <w:qFormat/>
    <w:uiPriority w:val="0"/>
    <w:rPr>
      <w:szCs w:val="18"/>
    </w:rPr>
  </w:style>
  <w:style w:type="paragraph" w:styleId="16">
    <w:name w:val="footer"/>
    <w:basedOn w:val="1"/>
    <w:autoRedefine/>
    <w:qFormat/>
    <w:uiPriority w:val="0"/>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17">
    <w:name w:val="header"/>
    <w:basedOn w:val="1"/>
    <w:autoRedefine/>
    <w:uiPriority w:val="0"/>
    <w:pPr>
      <w:pBdr>
        <w:bottom w:val="single" w:color="auto" w:sz="6" w:space="1"/>
      </w:pBdr>
      <w:snapToGrid w:val="0"/>
      <w:jc w:val="center"/>
    </w:pPr>
  </w:style>
  <w:style w:type="paragraph" w:styleId="18">
    <w:name w:val="Subtitle"/>
    <w:basedOn w:val="1"/>
    <w:next w:val="19"/>
    <w:autoRedefine/>
    <w:qFormat/>
    <w:uiPriority w:val="0"/>
    <w:pPr>
      <w:spacing w:before="320"/>
      <w:outlineLvl w:val="0"/>
    </w:pPr>
    <w:rPr>
      <w:rFonts w:eastAsia="黑体"/>
      <w:sz w:val="36"/>
    </w:rPr>
  </w:style>
  <w:style w:type="paragraph" w:customStyle="1" w:styleId="19">
    <w:name w:val="作者"/>
    <w:basedOn w:val="1"/>
    <w:next w:val="20"/>
    <w:autoRedefine/>
    <w:qFormat/>
    <w:uiPriority w:val="0"/>
    <w:pPr>
      <w:spacing w:before="160" w:after="240" w:line="0" w:lineRule="atLeast"/>
      <w:jc w:val="left"/>
    </w:pPr>
    <w:rPr>
      <w:rFonts w:eastAsia="仿宋_GB2312"/>
      <w:w w:val="66"/>
      <w:sz w:val="28"/>
    </w:rPr>
  </w:style>
  <w:style w:type="paragraph" w:customStyle="1" w:styleId="20">
    <w:name w:val="单位"/>
    <w:autoRedefine/>
    <w:qFormat/>
    <w:uiPriority w:val="0"/>
    <w:pPr>
      <w:ind w:left="70" w:hanging="70" w:hangingChars="70"/>
      <w:jc w:val="both"/>
    </w:pPr>
    <w:rPr>
      <w:rFonts w:ascii="Times New Roman" w:hAnsi="Times New Roman" w:eastAsia="宋体" w:cs="Times New Roman"/>
      <w:sz w:val="17"/>
      <w:lang w:val="en-US" w:eastAsia="zh-CN" w:bidi="ar-SA"/>
    </w:rPr>
  </w:style>
  <w:style w:type="paragraph" w:styleId="21">
    <w:name w:val="List"/>
    <w:basedOn w:val="3"/>
    <w:autoRedefine/>
    <w:qFormat/>
    <w:uiPriority w:val="0"/>
  </w:style>
  <w:style w:type="paragraph" w:styleId="22">
    <w:name w:val="footnote text"/>
    <w:basedOn w:val="1"/>
    <w:next w:val="23"/>
    <w:autoRedefine/>
    <w:semiHidden/>
    <w:qFormat/>
    <w:uiPriority w:val="0"/>
    <w:pPr>
      <w:tabs>
        <w:tab w:val="left" w:pos="465"/>
      </w:tabs>
      <w:snapToGrid w:val="0"/>
      <w:spacing w:before="120" w:line="312" w:lineRule="auto"/>
      <w:ind w:firstLine="267" w:firstLineChars="267"/>
    </w:pPr>
    <w:rPr>
      <w:sz w:val="15"/>
    </w:rPr>
  </w:style>
  <w:style w:type="paragraph" w:customStyle="1" w:styleId="23">
    <w:name w:val="脚注文本1"/>
    <w:basedOn w:val="22"/>
    <w:link w:val="65"/>
    <w:autoRedefine/>
    <w:qFormat/>
    <w:uiPriority w:val="0"/>
    <w:pPr>
      <w:spacing w:before="0"/>
      <w:ind w:firstLine="297" w:firstLineChars="297"/>
    </w:pPr>
  </w:style>
  <w:style w:type="paragraph" w:styleId="24">
    <w:name w:val="Normal (Web)"/>
    <w:basedOn w:val="1"/>
    <w:autoRedefine/>
    <w:qFormat/>
    <w:uiPriority w:val="0"/>
    <w:pPr>
      <w:widowControl/>
      <w:overflowPunct/>
      <w:spacing w:before="100" w:beforeAutospacing="1" w:after="100" w:afterAutospacing="1"/>
      <w:jc w:val="left"/>
    </w:pPr>
    <w:rPr>
      <w:rFonts w:ascii="宋体" w:hAnsi="宋体"/>
      <w:kern w:val="0"/>
      <w:sz w:val="24"/>
      <w:szCs w:val="24"/>
    </w:rPr>
  </w:style>
  <w:style w:type="paragraph" w:styleId="25">
    <w:name w:val="Title"/>
    <w:basedOn w:val="1"/>
    <w:next w:val="3"/>
    <w:autoRedefine/>
    <w:qFormat/>
    <w:uiPriority w:val="0"/>
    <w:pPr>
      <w:keepNext/>
      <w:spacing w:before="240" w:after="120"/>
    </w:pPr>
    <w:rPr>
      <w:rFonts w:ascii="DejaVu Sans" w:hAnsi="DejaVu Sans" w:eastAsia="DejaVu Sans" w:cs="DejaVu Sans"/>
      <w:sz w:val="28"/>
      <w:szCs w:val="28"/>
    </w:rPr>
  </w:style>
  <w:style w:type="table" w:styleId="27">
    <w:name w:val="Table Grid"/>
    <w:basedOn w:val="2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autoRedefine/>
    <w:qFormat/>
    <w:uiPriority w:val="0"/>
    <w:rPr>
      <w:b/>
      <w:bCs/>
    </w:rPr>
  </w:style>
  <w:style w:type="character" w:styleId="30">
    <w:name w:val="endnote reference"/>
    <w:basedOn w:val="28"/>
    <w:autoRedefine/>
    <w:semiHidden/>
    <w:qFormat/>
    <w:uiPriority w:val="0"/>
    <w:rPr>
      <w:vertAlign w:val="superscript"/>
    </w:rPr>
  </w:style>
  <w:style w:type="character" w:styleId="31">
    <w:name w:val="page number"/>
    <w:basedOn w:val="28"/>
    <w:autoRedefine/>
    <w:qFormat/>
    <w:uiPriority w:val="0"/>
  </w:style>
  <w:style w:type="character" w:styleId="32">
    <w:name w:val="Emphasis"/>
    <w:basedOn w:val="28"/>
    <w:autoRedefine/>
    <w:qFormat/>
    <w:uiPriority w:val="0"/>
    <w:rPr>
      <w:color w:val="CC0033"/>
    </w:rPr>
  </w:style>
  <w:style w:type="character" w:styleId="33">
    <w:name w:val="Hyperlink"/>
    <w:autoRedefine/>
    <w:qFormat/>
    <w:uiPriority w:val="0"/>
    <w:rPr>
      <w:color w:val="000080"/>
      <w:u w:val="single"/>
    </w:rPr>
  </w:style>
  <w:style w:type="character" w:styleId="34">
    <w:name w:val="annotation reference"/>
    <w:basedOn w:val="28"/>
    <w:autoRedefine/>
    <w:semiHidden/>
    <w:qFormat/>
    <w:uiPriority w:val="0"/>
    <w:rPr>
      <w:sz w:val="21"/>
      <w:szCs w:val="21"/>
    </w:rPr>
  </w:style>
  <w:style w:type="character" w:styleId="35">
    <w:name w:val="footnote reference"/>
    <w:basedOn w:val="28"/>
    <w:autoRedefine/>
    <w:semiHidden/>
    <w:qFormat/>
    <w:uiPriority w:val="0"/>
    <w:rPr>
      <w:rFonts w:ascii="Monotype Sorts" w:hAnsi="Monotype Sorts" w:eastAsia="宋体"/>
      <w:spacing w:val="0"/>
      <w:w w:val="100"/>
      <w:position w:val="0"/>
      <w:sz w:val="11"/>
      <w:vertAlign w:val="baseline"/>
    </w:rPr>
  </w:style>
  <w:style w:type="character" w:customStyle="1" w:styleId="36">
    <w:name w:val="WW8Num1z0"/>
    <w:autoRedefine/>
    <w:qFormat/>
    <w:uiPriority w:val="0"/>
    <w:rPr>
      <w:rFonts w:ascii="Times New Roman" w:hAnsi="Times New Roman"/>
      <w:b/>
      <w:sz w:val="21"/>
    </w:rPr>
  </w:style>
  <w:style w:type="character" w:customStyle="1" w:styleId="37">
    <w:name w:val="WW8Num1z1"/>
    <w:autoRedefine/>
    <w:qFormat/>
    <w:uiPriority w:val="0"/>
    <w:rPr>
      <w:rFonts w:ascii="Times New Roman" w:hAnsi="Times New Roman"/>
      <w:b/>
      <w:sz w:val="18"/>
    </w:rPr>
  </w:style>
  <w:style w:type="character" w:customStyle="1" w:styleId="38">
    <w:name w:val="WW8Num1z2"/>
    <w:autoRedefine/>
    <w:qFormat/>
    <w:uiPriority w:val="0"/>
    <w:rPr>
      <w:rFonts w:ascii="Times New Roman" w:hAnsi="Times New Roman"/>
      <w:sz w:val="18"/>
    </w:rPr>
  </w:style>
  <w:style w:type="character" w:customStyle="1" w:styleId="39">
    <w:name w:val="Absatz-Standardschriftart"/>
    <w:autoRedefine/>
    <w:qFormat/>
    <w:uiPriority w:val="0"/>
  </w:style>
  <w:style w:type="character" w:customStyle="1" w:styleId="40">
    <w:name w:val="WW-Absatz-Standardschriftart"/>
    <w:autoRedefine/>
    <w:qFormat/>
    <w:uiPriority w:val="0"/>
  </w:style>
  <w:style w:type="character" w:customStyle="1" w:styleId="41">
    <w:name w:val="默认段落字体1"/>
    <w:autoRedefine/>
    <w:qFormat/>
    <w:uiPriority w:val="0"/>
  </w:style>
  <w:style w:type="character" w:customStyle="1" w:styleId="42">
    <w:name w:val="WW-Absatz-Standardschriftart1"/>
    <w:autoRedefine/>
    <w:qFormat/>
    <w:uiPriority w:val="0"/>
  </w:style>
  <w:style w:type="character" w:customStyle="1" w:styleId="43">
    <w:name w:val="WW-Absatz-Standardschriftart11"/>
    <w:qFormat/>
    <w:uiPriority w:val="0"/>
  </w:style>
  <w:style w:type="character" w:customStyle="1" w:styleId="44">
    <w:name w:val="WW-Absatz-Standardschriftart111"/>
    <w:autoRedefine/>
    <w:qFormat/>
    <w:uiPriority w:val="0"/>
  </w:style>
  <w:style w:type="character" w:customStyle="1" w:styleId="45">
    <w:name w:val="WW-默认段落字体"/>
    <w:autoRedefine/>
    <w:qFormat/>
    <w:uiPriority w:val="0"/>
  </w:style>
  <w:style w:type="character" w:customStyle="1" w:styleId="46">
    <w:name w:val="WW8Num3z0"/>
    <w:autoRedefine/>
    <w:qFormat/>
    <w:uiPriority w:val="0"/>
    <w:rPr>
      <w:sz w:val="21"/>
    </w:rPr>
  </w:style>
  <w:style w:type="character" w:customStyle="1" w:styleId="47">
    <w:name w:val="WW8Num4z0"/>
    <w:autoRedefine/>
    <w:qFormat/>
    <w:uiPriority w:val="0"/>
    <w:rPr>
      <w:rFonts w:ascii="Times New Roman" w:hAnsi="Times New Roman"/>
      <w:b/>
      <w:sz w:val="21"/>
    </w:rPr>
  </w:style>
  <w:style w:type="character" w:customStyle="1" w:styleId="48">
    <w:name w:val="WW8Num4z1"/>
    <w:autoRedefine/>
    <w:qFormat/>
    <w:uiPriority w:val="0"/>
    <w:rPr>
      <w:rFonts w:ascii="Times New Roman" w:hAnsi="Times New Roman"/>
      <w:b/>
      <w:sz w:val="18"/>
    </w:rPr>
  </w:style>
  <w:style w:type="character" w:customStyle="1" w:styleId="49">
    <w:name w:val="WW8Num4z2"/>
    <w:autoRedefine/>
    <w:qFormat/>
    <w:uiPriority w:val="0"/>
    <w:rPr>
      <w:rFonts w:ascii="Times New Roman" w:hAnsi="Times New Roman"/>
      <w:sz w:val="18"/>
    </w:rPr>
  </w:style>
  <w:style w:type="character" w:customStyle="1" w:styleId="50">
    <w:name w:val="WW-默认段落字体1"/>
    <w:autoRedefine/>
    <w:qFormat/>
    <w:uiPriority w:val="0"/>
  </w:style>
  <w:style w:type="character" w:customStyle="1" w:styleId="51">
    <w:name w:val="Char Char12"/>
    <w:basedOn w:val="50"/>
    <w:autoRedefine/>
    <w:qFormat/>
    <w:uiPriority w:val="0"/>
    <w:rPr>
      <w:rFonts w:eastAsia="·s²Ó©úÅé"/>
      <w:sz w:val="18"/>
      <w:lang w:val="en-US" w:eastAsia="ar-SA" w:bidi="ar-SA"/>
    </w:rPr>
  </w:style>
  <w:style w:type="character" w:customStyle="1" w:styleId="52">
    <w:name w:val="Char Char11"/>
    <w:basedOn w:val="50"/>
    <w:autoRedefine/>
    <w:qFormat/>
    <w:uiPriority w:val="0"/>
    <w:rPr>
      <w:rFonts w:eastAsia="宋体"/>
      <w:kern w:val="1"/>
      <w:sz w:val="18"/>
      <w:lang w:val="en-US" w:eastAsia="ar-SA" w:bidi="ar-SA"/>
    </w:rPr>
  </w:style>
  <w:style w:type="character" w:customStyle="1" w:styleId="53">
    <w:name w:val="Char Char10"/>
    <w:basedOn w:val="50"/>
    <w:autoRedefine/>
    <w:qFormat/>
    <w:uiPriority w:val="0"/>
    <w:rPr>
      <w:rFonts w:eastAsia="黑体"/>
      <w:kern w:val="1"/>
      <w:sz w:val="36"/>
      <w:lang w:val="en-US" w:eastAsia="ar-SA" w:bidi="ar-SA"/>
    </w:rPr>
  </w:style>
  <w:style w:type="character" w:customStyle="1" w:styleId="54">
    <w:name w:val="正文文本 Char"/>
    <w:basedOn w:val="50"/>
    <w:autoRedefine/>
    <w:qFormat/>
    <w:uiPriority w:val="0"/>
    <w:rPr>
      <w:rFonts w:eastAsia="宋体"/>
      <w:kern w:val="1"/>
      <w:sz w:val="18"/>
      <w:lang w:val="en-US" w:eastAsia="ar-SA" w:bidi="ar-SA"/>
    </w:rPr>
  </w:style>
  <w:style w:type="character" w:customStyle="1" w:styleId="55">
    <w:name w:val="编号字符"/>
    <w:autoRedefine/>
    <w:qFormat/>
    <w:uiPriority w:val="0"/>
  </w:style>
  <w:style w:type="character" w:customStyle="1" w:styleId="56">
    <w:name w:val="项目符号"/>
    <w:autoRedefine/>
    <w:qFormat/>
    <w:uiPriority w:val="0"/>
    <w:rPr>
      <w:rFonts w:ascii="OpenSymbol" w:hAnsi="OpenSymbol" w:eastAsia="OpenSymbol" w:cs="OpenSymbol"/>
    </w:rPr>
  </w:style>
  <w:style w:type="paragraph" w:customStyle="1" w:styleId="57">
    <w:name w:val="目录"/>
    <w:basedOn w:val="1"/>
    <w:autoRedefine/>
    <w:qFormat/>
    <w:uiPriority w:val="0"/>
    <w:pPr>
      <w:suppressLineNumbers/>
    </w:pPr>
  </w:style>
  <w:style w:type="paragraph" w:customStyle="1" w:styleId="58">
    <w:name w:val="标题11"/>
    <w:basedOn w:val="1"/>
    <w:next w:val="3"/>
    <w:autoRedefine/>
    <w:qFormat/>
    <w:uiPriority w:val="0"/>
    <w:pPr>
      <w:keepNext/>
      <w:spacing w:before="240" w:after="120"/>
    </w:pPr>
    <w:rPr>
      <w:rFonts w:ascii="DejaVu Sans" w:hAnsi="DejaVu Sans" w:eastAsia="DejaVu Sans" w:cs="DejaVu Sans"/>
      <w:sz w:val="28"/>
      <w:szCs w:val="28"/>
    </w:rPr>
  </w:style>
  <w:style w:type="paragraph" w:customStyle="1" w:styleId="59">
    <w:name w:val="Name"/>
    <w:basedOn w:val="19"/>
    <w:next w:val="60"/>
    <w:autoRedefine/>
    <w:qFormat/>
    <w:uiPriority w:val="0"/>
    <w:pPr>
      <w:keepNext/>
      <w:spacing w:before="220" w:after="180"/>
    </w:pPr>
    <w:rPr>
      <w:rFonts w:eastAsia="宋体"/>
      <w:w w:val="100"/>
      <w:sz w:val="18"/>
    </w:rPr>
  </w:style>
  <w:style w:type="paragraph" w:customStyle="1" w:styleId="60">
    <w:name w:val="Depart.Correspond"/>
    <w:basedOn w:val="20"/>
    <w:autoRedefine/>
    <w:qFormat/>
    <w:uiPriority w:val="0"/>
    <w:pPr>
      <w:ind w:left="66" w:hanging="66" w:hangingChars="66"/>
    </w:pPr>
    <w:rPr>
      <w:iCs/>
      <w:sz w:val="16"/>
    </w:rPr>
  </w:style>
  <w:style w:type="paragraph" w:customStyle="1" w:styleId="61">
    <w:name w:val="标题1"/>
    <w:basedOn w:val="1"/>
    <w:next w:val="59"/>
    <w:autoRedefine/>
    <w:qFormat/>
    <w:uiPriority w:val="0"/>
    <w:pPr>
      <w:keepNext/>
      <w:keepLines/>
      <w:snapToGrid w:val="0"/>
      <w:spacing w:before="240" w:after="100"/>
    </w:pPr>
    <w:rPr>
      <w:rFonts w:eastAsia="黑体"/>
      <w:b/>
      <w:sz w:val="24"/>
    </w:rPr>
  </w:style>
  <w:style w:type="paragraph" w:customStyle="1" w:styleId="62">
    <w:name w:val="Depart.Correspond.http"/>
    <w:basedOn w:val="20"/>
    <w:autoRedefine/>
    <w:qFormat/>
    <w:uiPriority w:val="0"/>
    <w:pPr>
      <w:ind w:left="66" w:hanging="66"/>
    </w:pPr>
    <w:rPr>
      <w:iCs/>
      <w:sz w:val="16"/>
    </w:rPr>
  </w:style>
  <w:style w:type="paragraph" w:customStyle="1" w:styleId="63">
    <w:name w:val="框内容"/>
    <w:basedOn w:val="3"/>
    <w:autoRedefine/>
    <w:qFormat/>
    <w:uiPriority w:val="0"/>
  </w:style>
  <w:style w:type="paragraph" w:customStyle="1" w:styleId="64">
    <w:name w:val="人名"/>
    <w:basedOn w:val="1"/>
    <w:autoRedefine/>
    <w:qFormat/>
    <w:uiPriority w:val="0"/>
    <w:pPr>
      <w:overflowPunct/>
      <w:jc w:val="center"/>
    </w:pPr>
    <w:rPr>
      <w:rFonts w:eastAsia="楷体_GB2312"/>
      <w:sz w:val="21"/>
      <w:szCs w:val="21"/>
    </w:rPr>
  </w:style>
  <w:style w:type="character" w:customStyle="1" w:styleId="65">
    <w:name w:val="脚注文本1 Char"/>
    <w:basedOn w:val="28"/>
    <w:link w:val="23"/>
    <w:autoRedefine/>
    <w:qFormat/>
    <w:uiPriority w:val="0"/>
    <w:rPr>
      <w:rFonts w:eastAsia="宋体"/>
      <w:kern w:val="2"/>
      <w:sz w:val="15"/>
      <w:lang w:val="en-US" w:eastAsia="zh-CN" w:bidi="ar-SA"/>
    </w:rPr>
  </w:style>
  <w:style w:type="character" w:customStyle="1" w:styleId="66">
    <w:name w:val="short_text1"/>
    <w:basedOn w:val="28"/>
    <w:autoRedefine/>
    <w:qFormat/>
    <w:uiPriority w:val="0"/>
    <w:rPr>
      <w:sz w:val="19"/>
      <w:szCs w:val="19"/>
    </w:rPr>
  </w:style>
  <w:style w:type="character" w:customStyle="1" w:styleId="67">
    <w:name w:val="medium_text1"/>
    <w:basedOn w:val="28"/>
    <w:autoRedefine/>
    <w:qFormat/>
    <w:uiPriority w:val="0"/>
    <w:rPr>
      <w:sz w:val="16"/>
      <w:szCs w:val="16"/>
    </w:rPr>
  </w:style>
  <w:style w:type="character" w:customStyle="1" w:styleId="68">
    <w:name w:val="datatitle1"/>
    <w:basedOn w:val="28"/>
    <w:autoRedefine/>
    <w:qFormat/>
    <w:uiPriority w:val="0"/>
    <w:rPr>
      <w:b/>
      <w:bCs/>
      <w:color w:val="10619F"/>
      <w:sz w:val="13"/>
      <w:szCs w:val="13"/>
    </w:rPr>
  </w:style>
  <w:style w:type="paragraph" w:customStyle="1" w:styleId="69">
    <w:name w:val="Abstract"/>
    <w:next w:val="70"/>
    <w:link w:val="76"/>
    <w:autoRedefine/>
    <w:qFormat/>
    <w:uiPriority w:val="0"/>
    <w:pPr>
      <w:tabs>
        <w:tab w:val="left" w:pos="937"/>
      </w:tabs>
      <w:jc w:val="both"/>
    </w:pPr>
    <w:rPr>
      <w:rFonts w:ascii="Times New Roman" w:hAnsi="Times New Roman" w:eastAsia="楷体_GB2312" w:cs="Times New Roman"/>
      <w:kern w:val="2"/>
      <w:sz w:val="18"/>
      <w:lang w:val="en-US" w:eastAsia="zh-CN" w:bidi="ar-SA"/>
    </w:rPr>
  </w:style>
  <w:style w:type="paragraph" w:customStyle="1" w:styleId="70">
    <w:name w:val="Key words"/>
    <w:basedOn w:val="1"/>
    <w:next w:val="71"/>
    <w:link w:val="77"/>
    <w:autoRedefine/>
    <w:qFormat/>
    <w:uiPriority w:val="0"/>
    <w:pPr>
      <w:tabs>
        <w:tab w:val="left" w:pos="1176"/>
      </w:tabs>
      <w:adjustRightInd w:val="0"/>
      <w:spacing w:after="290"/>
      <w:ind w:left="632" w:hanging="632" w:hangingChars="632"/>
    </w:pPr>
    <w:rPr>
      <w:rFonts w:eastAsia="楷体_GB2312"/>
      <w:snapToGrid w:val="0"/>
    </w:rPr>
  </w:style>
  <w:style w:type="paragraph" w:customStyle="1" w:styleId="71">
    <w:name w:val="摘要"/>
    <w:basedOn w:val="3"/>
    <w:next w:val="72"/>
    <w:link w:val="78"/>
    <w:autoRedefine/>
    <w:qFormat/>
    <w:uiPriority w:val="0"/>
    <w:pPr>
      <w:tabs>
        <w:tab w:val="left" w:pos="798"/>
        <w:tab w:val="clear" w:pos="357"/>
      </w:tabs>
      <w:adjustRightInd w:val="0"/>
      <w:ind w:firstLine="0" w:firstLineChars="0"/>
    </w:pPr>
    <w:rPr>
      <w:rFonts w:eastAsia="楷体_GB2312"/>
      <w:snapToGrid w:val="0"/>
    </w:rPr>
  </w:style>
  <w:style w:type="paragraph" w:customStyle="1" w:styleId="72">
    <w:name w:val="关键词"/>
    <w:basedOn w:val="71"/>
    <w:next w:val="73"/>
    <w:link w:val="79"/>
    <w:autoRedefine/>
    <w:qFormat/>
    <w:uiPriority w:val="0"/>
    <w:pPr>
      <w:ind w:left="429" w:hanging="429" w:hangingChars="429"/>
    </w:pPr>
  </w:style>
  <w:style w:type="paragraph" w:customStyle="1" w:styleId="73">
    <w:name w:val="分类号"/>
    <w:basedOn w:val="74"/>
    <w:next w:val="3"/>
    <w:autoRedefine/>
    <w:qFormat/>
    <w:uiPriority w:val="0"/>
    <w:pPr>
      <w:tabs>
        <w:tab w:val="left" w:pos="1233"/>
      </w:tabs>
      <w:spacing w:after="320"/>
      <w:ind w:left="0" w:firstLine="0" w:firstLineChars="0"/>
    </w:pPr>
    <w:rPr>
      <w:rFonts w:eastAsia="黑体"/>
    </w:rPr>
  </w:style>
  <w:style w:type="paragraph" w:customStyle="1" w:styleId="74">
    <w:name w:val="Date1"/>
    <w:basedOn w:val="60"/>
    <w:next w:val="1"/>
    <w:autoRedefine/>
    <w:qFormat/>
    <w:uiPriority w:val="0"/>
    <w:pPr>
      <w:spacing w:after="240"/>
    </w:pPr>
    <w:rPr>
      <w:sz w:val="18"/>
    </w:rPr>
  </w:style>
  <w:style w:type="paragraph" w:customStyle="1" w:styleId="75">
    <w:name w:val="Title1"/>
    <w:basedOn w:val="1"/>
    <w:next w:val="59"/>
    <w:autoRedefine/>
    <w:qFormat/>
    <w:uiPriority w:val="0"/>
    <w:pPr>
      <w:keepNext/>
      <w:keepLines/>
      <w:snapToGrid w:val="0"/>
      <w:spacing w:before="240" w:after="100"/>
      <w:outlineLvl w:val="0"/>
    </w:pPr>
    <w:rPr>
      <w:rFonts w:eastAsia="黑体"/>
      <w:b/>
      <w:sz w:val="24"/>
    </w:rPr>
  </w:style>
  <w:style w:type="character" w:customStyle="1" w:styleId="76">
    <w:name w:val="Abstract Char"/>
    <w:basedOn w:val="28"/>
    <w:link w:val="69"/>
    <w:autoRedefine/>
    <w:qFormat/>
    <w:uiPriority w:val="0"/>
    <w:rPr>
      <w:rFonts w:eastAsia="楷体_GB2312"/>
      <w:kern w:val="2"/>
      <w:sz w:val="18"/>
      <w:lang w:val="en-US" w:eastAsia="zh-CN" w:bidi="ar-SA"/>
    </w:rPr>
  </w:style>
  <w:style w:type="character" w:customStyle="1" w:styleId="77">
    <w:name w:val="Key words Char"/>
    <w:basedOn w:val="28"/>
    <w:link w:val="70"/>
    <w:autoRedefine/>
    <w:qFormat/>
    <w:uiPriority w:val="0"/>
    <w:rPr>
      <w:rFonts w:eastAsia="楷体_GB2312"/>
      <w:snapToGrid w:val="0"/>
      <w:kern w:val="2"/>
      <w:sz w:val="18"/>
      <w:lang w:val="en-US" w:eastAsia="zh-CN" w:bidi="ar-SA"/>
    </w:rPr>
  </w:style>
  <w:style w:type="character" w:customStyle="1" w:styleId="78">
    <w:name w:val="摘要 Char"/>
    <w:basedOn w:val="54"/>
    <w:link w:val="71"/>
    <w:autoRedefine/>
    <w:qFormat/>
    <w:uiPriority w:val="0"/>
    <w:rPr>
      <w:rFonts w:eastAsia="楷体_GB2312"/>
      <w:snapToGrid w:val="0"/>
      <w:kern w:val="2"/>
      <w:sz w:val="18"/>
      <w:lang w:val="en-US" w:eastAsia="zh-CN" w:bidi="ar-SA"/>
    </w:rPr>
  </w:style>
  <w:style w:type="character" w:customStyle="1" w:styleId="79">
    <w:name w:val="关键词 Char"/>
    <w:basedOn w:val="78"/>
    <w:link w:val="72"/>
    <w:autoRedefine/>
    <w:qFormat/>
    <w:uiPriority w:val="0"/>
    <w:rPr>
      <w:rFonts w:eastAsia="楷体_GB2312"/>
      <w:snapToGrid w:val="0"/>
      <w:kern w:val="2"/>
      <w:sz w:val="18"/>
      <w:lang w:val="en-US" w:eastAsia="zh-CN" w:bidi="ar-SA"/>
    </w:rPr>
  </w:style>
  <w:style w:type="paragraph" w:customStyle="1" w:styleId="80">
    <w:name w:val="样式1"/>
    <w:basedOn w:val="4"/>
    <w:autoRedefine/>
    <w:qFormat/>
    <w:uiPriority w:val="0"/>
    <w:rPr>
      <w:b/>
    </w:rPr>
  </w:style>
  <w:style w:type="character" w:customStyle="1" w:styleId="81">
    <w:name w:val="标题 2 字符"/>
    <w:basedOn w:val="28"/>
    <w:link w:val="4"/>
    <w:autoRedefine/>
    <w:qFormat/>
    <w:uiPriority w:val="0"/>
    <w:rPr>
      <w:rFonts w:eastAsia="黑体"/>
      <w:sz w:val="21"/>
      <w:lang w:val="en-US" w:eastAsia="zh-CN" w:bidi="ar-SA"/>
    </w:rPr>
  </w:style>
  <w:style w:type="paragraph" w:customStyle="1" w:styleId="82">
    <w:name w:val="Correspond"/>
    <w:basedOn w:val="60"/>
    <w:next w:val="1"/>
    <w:autoRedefine/>
    <w:qFormat/>
    <w:uiPriority w:val="0"/>
  </w:style>
  <w:style w:type="paragraph" w:customStyle="1" w:styleId="83">
    <w:name w:val="Information"/>
    <w:basedOn w:val="74"/>
    <w:next w:val="69"/>
    <w:autoRedefine/>
    <w:qFormat/>
    <w:uiPriority w:val="0"/>
    <w:pPr>
      <w:ind w:left="0" w:firstLine="0" w:firstLineChars="0"/>
    </w:pPr>
    <w:rPr>
      <w:b/>
      <w:bCs/>
    </w:rPr>
  </w:style>
  <w:style w:type="paragraph" w:customStyle="1" w:styleId="84">
    <w:name w:val="Reference"/>
    <w:basedOn w:val="1"/>
    <w:next w:val="1"/>
    <w:autoRedefine/>
    <w:qFormat/>
    <w:uiPriority w:val="0"/>
    <w:pPr>
      <w:snapToGrid w:val="0"/>
      <w:spacing w:before="280"/>
      <w:jc w:val="left"/>
      <w:outlineLvl w:val="0"/>
    </w:pPr>
    <w:rPr>
      <w:rFonts w:eastAsia="黑体"/>
      <w:b/>
    </w:rPr>
  </w:style>
  <w:style w:type="paragraph" w:customStyle="1" w:styleId="85">
    <w:name w:val="Text of Reference"/>
    <w:autoRedefine/>
    <w:qFormat/>
    <w:uiPriority w:val="0"/>
    <w:pPr>
      <w:numPr>
        <w:ilvl w:val="0"/>
        <w:numId w:val="2"/>
      </w:numPr>
      <w:spacing w:line="260" w:lineRule="exact"/>
      <w:jc w:val="both"/>
    </w:pPr>
    <w:rPr>
      <w:rFonts w:ascii="Times New Roman" w:hAnsi="Times New Roman" w:eastAsia="宋体" w:cs="Times New Roman"/>
      <w:sz w:val="15"/>
      <w:lang w:val="en-US" w:eastAsia="zh-CN" w:bidi="ar-SA"/>
    </w:rPr>
  </w:style>
  <w:style w:type="paragraph" w:customStyle="1" w:styleId="86">
    <w:name w:val="Text of Reference 1"/>
    <w:autoRedefine/>
    <w:qFormat/>
    <w:uiPriority w:val="0"/>
    <w:pPr>
      <w:spacing w:line="260" w:lineRule="exact"/>
      <w:jc w:val="both"/>
    </w:pPr>
    <w:rPr>
      <w:rFonts w:ascii="Times New Roman" w:hAnsi="Times New Roman" w:eastAsia="宋体" w:cs="Times New Roman"/>
      <w:sz w:val="15"/>
      <w:lang w:val="en-US" w:eastAsia="zh-CN" w:bidi="ar-SA"/>
    </w:rPr>
  </w:style>
  <w:style w:type="paragraph" w:customStyle="1" w:styleId="87">
    <w:name w:val="Text of 中文参考文献"/>
    <w:basedOn w:val="85"/>
    <w:autoRedefine/>
    <w:qFormat/>
    <w:uiPriority w:val="0"/>
    <w:pPr>
      <w:numPr>
        <w:ilvl w:val="0"/>
        <w:numId w:val="0"/>
      </w:numPr>
      <w:tabs>
        <w:tab w:val="left" w:pos="346"/>
        <w:tab w:val="clear" w:pos="419"/>
      </w:tabs>
      <w:ind w:left="258" w:hanging="258" w:hangingChars="258"/>
    </w:pPr>
  </w:style>
  <w:style w:type="paragraph" w:customStyle="1" w:styleId="88">
    <w:name w:val="Text of 中文参考文献１"/>
    <w:basedOn w:val="87"/>
    <w:autoRedefine/>
    <w:qFormat/>
    <w:uiPriority w:val="0"/>
    <w:pPr>
      <w:tabs>
        <w:tab w:val="left" w:pos="78"/>
        <w:tab w:val="left" w:pos="424"/>
        <w:tab w:val="clear" w:pos="346"/>
      </w:tabs>
    </w:pPr>
  </w:style>
  <w:style w:type="paragraph" w:customStyle="1" w:styleId="89">
    <w:name w:val="表名"/>
    <w:basedOn w:val="1"/>
    <w:autoRedefine/>
    <w:qFormat/>
    <w:uiPriority w:val="0"/>
    <w:pPr>
      <w:spacing w:after="120"/>
    </w:pPr>
  </w:style>
  <w:style w:type="paragraph" w:customStyle="1" w:styleId="90">
    <w:name w:val="定理"/>
    <w:basedOn w:val="3"/>
    <w:next w:val="3"/>
    <w:autoRedefine/>
    <w:qFormat/>
    <w:uiPriority w:val="0"/>
    <w:rPr>
      <w:rFonts w:eastAsia="黑体"/>
    </w:rPr>
  </w:style>
  <w:style w:type="paragraph" w:customStyle="1" w:styleId="91">
    <w:name w:val="首页页眉"/>
    <w:basedOn w:val="17"/>
    <w:autoRedefine/>
    <w:qFormat/>
    <w:uiPriority w:val="0"/>
    <w:pPr>
      <w:pBdr>
        <w:bottom w:val="double" w:color="auto" w:sz="6" w:space="1"/>
      </w:pBdr>
      <w:jc w:val="both"/>
    </w:pPr>
  </w:style>
  <w:style w:type="paragraph" w:customStyle="1" w:styleId="92">
    <w:name w:val="文前文本"/>
    <w:basedOn w:val="72"/>
    <w:autoRedefine/>
    <w:qFormat/>
    <w:uiPriority w:val="0"/>
    <w:pPr>
      <w:ind w:left="0" w:firstLine="0"/>
    </w:pPr>
    <w:rPr>
      <w:b/>
    </w:rPr>
  </w:style>
  <w:style w:type="paragraph" w:customStyle="1" w:styleId="93">
    <w:name w:val="证明"/>
    <w:basedOn w:val="90"/>
    <w:autoRedefine/>
    <w:qFormat/>
    <w:uiPriority w:val="0"/>
    <w:rPr>
      <w:rFonts w:eastAsia="仿宋_GB2312"/>
    </w:rPr>
  </w:style>
  <w:style w:type="paragraph" w:customStyle="1" w:styleId="94">
    <w:name w:val="致谢"/>
    <w:basedOn w:val="90"/>
    <w:next w:val="84"/>
    <w:autoRedefine/>
    <w:qFormat/>
    <w:uiPriority w:val="0"/>
    <w:pPr>
      <w:tabs>
        <w:tab w:val="clear" w:pos="357"/>
      </w:tabs>
      <w:spacing w:before="100" w:beforeLines="100"/>
      <w:ind w:firstLine="0" w:firstLineChars="0"/>
    </w:pPr>
    <w:rPr>
      <w:rFonts w:eastAsia="宋体"/>
      <w:bCs/>
    </w:rPr>
  </w:style>
  <w:style w:type="paragraph" w:customStyle="1" w:styleId="95">
    <w:name w:val="中文参考文献"/>
    <w:basedOn w:val="84"/>
    <w:next w:val="3"/>
    <w:autoRedefine/>
    <w:qFormat/>
    <w:uiPriority w:val="0"/>
    <w:pPr>
      <w:spacing w:before="240"/>
    </w:pPr>
    <w:rPr>
      <w:b w:val="0"/>
    </w:rPr>
  </w:style>
  <w:style w:type="character" w:customStyle="1" w:styleId="96">
    <w:name w:val="批注文字 字符"/>
    <w:basedOn w:val="28"/>
    <w:link w:val="14"/>
    <w:autoRedefine/>
    <w:semiHidden/>
    <w:qFormat/>
    <w:uiPriority w:val="0"/>
    <w:rPr>
      <w:kern w:val="2"/>
      <w:sz w:val="18"/>
    </w:rPr>
  </w:style>
  <w:style w:type="character" w:customStyle="1" w:styleId="97">
    <w:name w:val="批注框文本 字符"/>
    <w:basedOn w:val="28"/>
    <w:link w:val="15"/>
    <w:autoRedefine/>
    <w:qFormat/>
    <w:uiPriority w:val="0"/>
    <w:rPr>
      <w:kern w:val="2"/>
      <w:sz w:val="18"/>
      <w:szCs w:val="18"/>
    </w:rPr>
  </w:style>
  <w:style w:type="paragraph" w:styleId="98">
    <w:name w:val="List Paragraph"/>
    <w:basedOn w:val="1"/>
    <w:autoRedefine/>
    <w:unhideWhenUsed/>
    <w:qFormat/>
    <w:uiPriority w:val="99"/>
    <w:pPr>
      <w:ind w:firstLine="420" w:firstLineChars="200"/>
    </w:pPr>
  </w:style>
  <w:style w:type="paragraph" w:customStyle="1" w:styleId="99">
    <w:name w:val="Table Text"/>
    <w:basedOn w:val="1"/>
    <w:autoRedefine/>
    <w:semiHidden/>
    <w:qFormat/>
    <w:uiPriority w:val="0"/>
    <w:pPr>
      <w:widowControl/>
      <w:kinsoku w:val="0"/>
      <w:overflowPunct/>
      <w:autoSpaceDE w:val="0"/>
      <w:autoSpaceDN w:val="0"/>
      <w:adjustRightInd w:val="0"/>
      <w:snapToGrid w:val="0"/>
      <w:spacing w:before="100" w:beforeAutospacing="1" w:after="160"/>
      <w:jc w:val="left"/>
      <w:textAlignment w:val="baseline"/>
    </w:pPr>
    <w:rPr>
      <w:rFonts w:ascii="宋体" w:hAnsi="宋体" w:cs="宋体"/>
      <w:color w:val="000000"/>
      <w:kern w:val="0"/>
      <w:sz w:val="17"/>
      <w:szCs w:val="17"/>
    </w:rPr>
  </w:style>
  <w:style w:type="paragraph" w:customStyle="1" w:styleId="100">
    <w:name w:val="First Paragraph"/>
    <w:basedOn w:val="3"/>
    <w:next w:val="3"/>
    <w:autoRedefine/>
    <w:qFormat/>
    <w:uiPriority w:val="0"/>
  </w:style>
  <w:style w:type="paragraph" w:customStyle="1" w:styleId="101">
    <w:name w:val="MSG_EN_FONT_STYLE_NAME_TEMPLATE_ROLE_NUMBER MSG_EN_FONT_STYLE_NAME_BY_ROLE_TEXT 2"/>
    <w:basedOn w:val="1"/>
    <w:link w:val="103"/>
    <w:autoRedefine/>
    <w:qFormat/>
    <w:uiPriority w:val="0"/>
    <w:pPr>
      <w:widowControl w:val="0"/>
      <w:shd w:val="clear" w:color="auto" w:fill="FFFFFF"/>
    </w:pPr>
    <w:rPr>
      <w:sz w:val="20"/>
      <w:szCs w:val="20"/>
      <w:u w:val="none"/>
    </w:rPr>
  </w:style>
  <w:style w:type="character" w:customStyle="1" w:styleId="102">
    <w:name w:val="MSG_EN_FONT_STYLE_NAME_TEMPLATE_ROLE_NUMBER MSG_EN_FONT_STYLE_NAME_BY_ROLE_TEXT 2 + MSG_EN_FONT_STYLE_MODIFER_SIZE 9.5"/>
    <w:basedOn w:val="103"/>
    <w:autoRedefine/>
    <w:qFormat/>
    <w:uiPriority w:val="0"/>
    <w:rPr>
      <w:rFonts w:ascii="Times New Roman" w:hAnsi="Times New Roman" w:eastAsia="Times New Roman" w:cs="Times New Roman"/>
      <w:color w:val="000000"/>
      <w:spacing w:val="0"/>
      <w:w w:val="100"/>
      <w:position w:val="0"/>
      <w:sz w:val="19"/>
      <w:szCs w:val="19"/>
      <w:lang w:val="en-US" w:eastAsia="en-US" w:bidi="en-US"/>
    </w:rPr>
  </w:style>
  <w:style w:type="character" w:customStyle="1" w:styleId="103">
    <w:name w:val="MSG_EN_FONT_STYLE_NAME_TEMPLATE_ROLE_NUMBER MSG_EN_FONT_STYLE_NAME_BY_ROLE_TEXT 2_"/>
    <w:basedOn w:val="28"/>
    <w:link w:val="101"/>
    <w:autoRedefine/>
    <w:qFormat/>
    <w:uiPriority w:val="0"/>
    <w:rPr>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5764C-5767-47E2-B8B4-140E058C3DC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9</Pages>
  <Words>9866</Words>
  <Characters>15100</Characters>
  <Lines>1</Lines>
  <Paragraphs>1</Paragraphs>
  <TotalTime>11</TotalTime>
  <ScaleCrop>false</ScaleCrop>
  <LinksUpToDate>false</LinksUpToDate>
  <CharactersWithSpaces>15992</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2015-01-16T05:35:00Z</dcterms:created>
  <dc:creator>微软用户</dc:creator>
  <cp:lastModifiedBy>GFY</cp:lastModifiedBy>
  <cp:lastPrinted>2014-10-21T03:30:00Z</cp:lastPrinted>
  <dcterms:modified xsi:type="dcterms:W3CDTF">2024-01-04T13:00:00Z</dcterms:modified>
  <dc:title>能量高效的传感器网络空间范围聚集</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FE62A63AD41F4E1A864BCA13855F0F84_13</vt:lpwstr>
  </property>
</Properties>
</file>