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F0B1" w14:textId="051B4684" w:rsidR="000D05F6" w:rsidRPr="000D05F6" w:rsidRDefault="000D05F6" w:rsidP="000D05F6">
      <w:r w:rsidRPr="000D05F6">
        <w:rPr>
          <w:b/>
          <w:bCs/>
        </w:rPr>
        <w:t>To:</w:t>
      </w:r>
      <w:r w:rsidRPr="000D05F6">
        <w:t> Hedge Fund Pricing Committee</w:t>
      </w:r>
      <w:r w:rsidRPr="000D05F6">
        <w:br/>
      </w:r>
      <w:r w:rsidRPr="000D05F6">
        <w:rPr>
          <w:b/>
          <w:bCs/>
        </w:rPr>
        <w:t>From:</w:t>
      </w:r>
      <w:r w:rsidRPr="000D05F6">
        <w:t> Quant Research Team</w:t>
      </w:r>
      <w:r w:rsidRPr="000D05F6">
        <w:br/>
      </w:r>
      <w:r w:rsidRPr="000D05F6">
        <w:rPr>
          <w:b/>
          <w:bCs/>
        </w:rPr>
        <w:t>Subject:</w:t>
      </w:r>
      <w:r w:rsidRPr="000D05F6">
        <w:t> TOP Prediction System Implementation</w:t>
      </w:r>
    </w:p>
    <w:p w14:paraId="00F97E63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1. Purpose</w:t>
      </w:r>
    </w:p>
    <w:p w14:paraId="7E724566" w14:textId="77777777" w:rsidR="000D05F6" w:rsidRPr="000D05F6" w:rsidRDefault="000D05F6" w:rsidP="000D05F6">
      <w:r w:rsidRPr="000D05F6">
        <w:t>Formally request approval for developing the TOP (The Optimal Pricing) prediction system to reduce pricing errors through Bayesian Model Averaging with attention mechanisms, targeting 15% improvement over traditional factor models.</w:t>
      </w:r>
    </w:p>
    <w:p w14:paraId="00DD450F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2. Business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36"/>
        <w:gridCol w:w="1690"/>
      </w:tblGrid>
      <w:tr w:rsidR="000D05F6" w:rsidRPr="000D05F6" w14:paraId="276D8299" w14:textId="77777777" w:rsidTr="000D05F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AEF7C9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4C1B9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Current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8A421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Target</w:t>
            </w:r>
          </w:p>
        </w:tc>
      </w:tr>
      <w:tr w:rsidR="000D05F6" w:rsidRPr="000D05F6" w14:paraId="1D808232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37DDC2" w14:textId="77777777" w:rsidR="000D05F6" w:rsidRPr="000D05F6" w:rsidRDefault="000D05F6" w:rsidP="000D05F6">
            <w:r w:rsidRPr="000D05F6">
              <w:t>Avg Pricing Error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31B78" w14:textId="77777777" w:rsidR="000D05F6" w:rsidRPr="000D05F6" w:rsidRDefault="000D05F6" w:rsidP="000D05F6">
            <w:r w:rsidRPr="000D05F6">
              <w:t>12.3%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182B7" w14:textId="77777777" w:rsidR="000D05F6" w:rsidRPr="000D05F6" w:rsidRDefault="000D05F6" w:rsidP="000D05F6">
            <w:r w:rsidRPr="000D05F6">
              <w:t>&lt;8%</w:t>
            </w:r>
          </w:p>
        </w:tc>
      </w:tr>
      <w:tr w:rsidR="000D05F6" w:rsidRPr="000D05F6" w14:paraId="72D317F1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0F783A" w14:textId="77777777" w:rsidR="000D05F6" w:rsidRPr="000D05F6" w:rsidRDefault="000D05F6" w:rsidP="000D05F6">
            <w:r w:rsidRPr="000D05F6">
              <w:t>Factor Coverage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42E85" w14:textId="77777777" w:rsidR="000D05F6" w:rsidRPr="000D05F6" w:rsidRDefault="000D05F6" w:rsidP="000D05F6">
            <w:r w:rsidRPr="000D05F6">
              <w:t>5-10 factors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9A245" w14:textId="77777777" w:rsidR="000D05F6" w:rsidRPr="000D05F6" w:rsidRDefault="000D05F6" w:rsidP="000D05F6">
            <w:r w:rsidRPr="000D05F6">
              <w:t>118 factors</w:t>
            </w:r>
          </w:p>
        </w:tc>
      </w:tr>
      <w:tr w:rsidR="000D05F6" w:rsidRPr="000D05F6" w14:paraId="5A55F075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4A6174" w14:textId="77777777" w:rsidR="000D05F6" w:rsidRPr="000D05F6" w:rsidRDefault="000D05F6" w:rsidP="000D05F6">
            <w:r w:rsidRPr="000D05F6">
              <w:t>Regime Adaptability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95E01" w14:textId="77777777" w:rsidR="000D05F6" w:rsidRPr="000D05F6" w:rsidRDefault="000D05F6" w:rsidP="000D05F6">
            <w:r w:rsidRPr="000D05F6">
              <w:t>Manual adjustment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8356B" w14:textId="77777777" w:rsidR="000D05F6" w:rsidRPr="000D05F6" w:rsidRDefault="000D05F6" w:rsidP="000D05F6">
            <w:r w:rsidRPr="000D05F6">
              <w:t>Auto-detection</w:t>
            </w:r>
          </w:p>
        </w:tc>
      </w:tr>
    </w:tbl>
    <w:p w14:paraId="2DF6A740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3. Key Features</w:t>
      </w:r>
    </w:p>
    <w:p w14:paraId="6A7B078E" w14:textId="77777777" w:rsidR="000D05F6" w:rsidRPr="000D05F6" w:rsidRDefault="000D05F6" w:rsidP="000D05F6">
      <w:r w:rsidRPr="000D05F6">
        <w:rPr>
          <w:b/>
          <w:bCs/>
        </w:rPr>
        <w:t>Technical Innovation:</w:t>
      </w:r>
    </w:p>
    <w:p w14:paraId="0CDDD377" w14:textId="77777777" w:rsidR="000D05F6" w:rsidRPr="000D05F6" w:rsidRDefault="000D05F6" w:rsidP="000D05F6">
      <w:pPr>
        <w:numPr>
          <w:ilvl w:val="0"/>
          <w:numId w:val="1"/>
        </w:numPr>
      </w:pPr>
      <w:r w:rsidRPr="000D05F6">
        <w:t>Bayesian spike-and-slab priors replacing flat priors</w:t>
      </w:r>
    </w:p>
    <w:p w14:paraId="35063FE4" w14:textId="77777777" w:rsidR="000D05F6" w:rsidRPr="000D05F6" w:rsidRDefault="000D05F6" w:rsidP="000D05F6">
      <w:pPr>
        <w:numPr>
          <w:ilvl w:val="0"/>
          <w:numId w:val="1"/>
        </w:numPr>
      </w:pPr>
      <w:r w:rsidRPr="000D05F6">
        <w:t>Attention-weighted factor aggregation</w:t>
      </w:r>
    </w:p>
    <w:p w14:paraId="4BCDE87E" w14:textId="77777777" w:rsidR="000D05F6" w:rsidRPr="000D05F6" w:rsidRDefault="000D05F6" w:rsidP="000D05F6">
      <w:pPr>
        <w:numPr>
          <w:ilvl w:val="0"/>
          <w:numId w:val="1"/>
        </w:numPr>
      </w:pPr>
      <w:r w:rsidRPr="000D05F6">
        <w:t>Microstructure-adjusted error bands</w:t>
      </w:r>
    </w:p>
    <w:p w14:paraId="033DFA78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4. Implementation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709"/>
        <w:gridCol w:w="1143"/>
      </w:tblGrid>
      <w:tr w:rsidR="000D05F6" w:rsidRPr="000D05F6" w14:paraId="7A9AEB8D" w14:textId="77777777" w:rsidTr="000D05F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BE81F7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CDFA9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Deliverable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D3BC5" w14:textId="77777777" w:rsidR="000D05F6" w:rsidRPr="000D05F6" w:rsidRDefault="000D05F6" w:rsidP="000D05F6">
            <w:pPr>
              <w:rPr>
                <w:b/>
                <w:bCs/>
              </w:rPr>
            </w:pPr>
            <w:r w:rsidRPr="000D05F6">
              <w:rPr>
                <w:b/>
                <w:bCs/>
              </w:rPr>
              <w:t>Deadline</w:t>
            </w:r>
          </w:p>
        </w:tc>
      </w:tr>
      <w:tr w:rsidR="000D05F6" w:rsidRPr="000D05F6" w14:paraId="4370562F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4B6B26" w14:textId="77777777" w:rsidR="000D05F6" w:rsidRPr="000D05F6" w:rsidRDefault="000D05F6" w:rsidP="000D05F6">
            <w:r w:rsidRPr="000D05F6">
              <w:t>Alpha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A4C12" w14:textId="77777777" w:rsidR="000D05F6" w:rsidRPr="000D05F6" w:rsidRDefault="000D05F6" w:rsidP="000D05F6">
            <w:r w:rsidRPr="000D05F6">
              <w:t>Factor Library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54261" w14:textId="77777777" w:rsidR="000D05F6" w:rsidRPr="000D05F6" w:rsidRDefault="000D05F6" w:rsidP="000D05F6">
            <w:r w:rsidRPr="000D05F6">
              <w:t>MM/DD</w:t>
            </w:r>
          </w:p>
        </w:tc>
      </w:tr>
      <w:tr w:rsidR="000D05F6" w:rsidRPr="000D05F6" w14:paraId="0F35F215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725D6" w14:textId="77777777" w:rsidR="000D05F6" w:rsidRPr="000D05F6" w:rsidRDefault="000D05F6" w:rsidP="000D05F6">
            <w:r w:rsidRPr="000D05F6">
              <w:t>Beta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357A2" w14:textId="77777777" w:rsidR="000D05F6" w:rsidRPr="000D05F6" w:rsidRDefault="000D05F6" w:rsidP="000D05F6">
            <w:r w:rsidRPr="000D05F6">
              <w:t>Backtest Report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5DA56" w14:textId="77777777" w:rsidR="000D05F6" w:rsidRPr="000D05F6" w:rsidRDefault="000D05F6" w:rsidP="000D05F6">
            <w:r w:rsidRPr="000D05F6">
              <w:t>MM/DD</w:t>
            </w:r>
          </w:p>
        </w:tc>
      </w:tr>
      <w:tr w:rsidR="000D05F6" w:rsidRPr="000D05F6" w14:paraId="2CCF989B" w14:textId="77777777" w:rsidTr="000D05F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4C521" w14:textId="77777777" w:rsidR="000D05F6" w:rsidRPr="000D05F6" w:rsidRDefault="000D05F6" w:rsidP="000D05F6">
            <w:r w:rsidRPr="000D05F6">
              <w:t>Prod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B50FE" w14:textId="77777777" w:rsidR="000D05F6" w:rsidRPr="000D05F6" w:rsidRDefault="000D05F6" w:rsidP="000D05F6">
            <w:r w:rsidRPr="000D05F6">
              <w:t>Trading 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ED71F" w14:textId="77777777" w:rsidR="000D05F6" w:rsidRPr="000D05F6" w:rsidRDefault="000D05F6" w:rsidP="000D05F6">
            <w:r w:rsidRPr="000D05F6">
              <w:t>MM/DD</w:t>
            </w:r>
          </w:p>
        </w:tc>
        <w:bookmarkStart w:id="0" w:name="_GoBack"/>
        <w:bookmarkEnd w:id="0"/>
      </w:tr>
    </w:tbl>
    <w:p w14:paraId="331E2BB4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5. Resource Requirements</w:t>
      </w:r>
    </w:p>
    <w:p w14:paraId="277F777A" w14:textId="77777777" w:rsidR="000D05F6" w:rsidRPr="000D05F6" w:rsidRDefault="000D05F6" w:rsidP="000D05F6">
      <w:pPr>
        <w:numPr>
          <w:ilvl w:val="0"/>
          <w:numId w:val="2"/>
        </w:numPr>
      </w:pPr>
      <w:r w:rsidRPr="000D05F6">
        <w:rPr>
          <w:b/>
          <w:bCs/>
        </w:rPr>
        <w:t>Data Costs:</w:t>
      </w:r>
      <w:r w:rsidRPr="000D05F6">
        <w:t> $25k/yr (Bloomberg+Wind)</w:t>
      </w:r>
    </w:p>
    <w:p w14:paraId="60174A0D" w14:textId="77777777" w:rsidR="000D05F6" w:rsidRPr="000D05F6" w:rsidRDefault="000D05F6" w:rsidP="000D05F6">
      <w:pPr>
        <w:numPr>
          <w:ilvl w:val="0"/>
          <w:numId w:val="2"/>
        </w:numPr>
      </w:pPr>
      <w:r w:rsidRPr="000D05F6">
        <w:rPr>
          <w:b/>
          <w:bCs/>
        </w:rPr>
        <w:t>Compute:</w:t>
      </w:r>
      <w:r w:rsidRPr="000D05F6">
        <w:t> 2 x GPU nodes (AWS p4d.24xlarge)</w:t>
      </w:r>
    </w:p>
    <w:p w14:paraId="7880C08B" w14:textId="77777777" w:rsidR="000D05F6" w:rsidRPr="000D05F6" w:rsidRDefault="000D05F6" w:rsidP="000D05F6">
      <w:pPr>
        <w:numPr>
          <w:ilvl w:val="0"/>
          <w:numId w:val="2"/>
        </w:numPr>
      </w:pPr>
      <w:r w:rsidRPr="000D05F6">
        <w:rPr>
          <w:b/>
          <w:bCs/>
        </w:rPr>
        <w:t>Validation:</w:t>
      </w:r>
      <w:r w:rsidRPr="000D05F6">
        <w:t> Full market cycle backtest (2007-2023)</w:t>
      </w:r>
    </w:p>
    <w:p w14:paraId="7E677CF1" w14:textId="77777777" w:rsidR="000D05F6" w:rsidRPr="000D05F6" w:rsidRDefault="000D05F6" w:rsidP="000D05F6">
      <w:pPr>
        <w:rPr>
          <w:b/>
          <w:bCs/>
        </w:rPr>
      </w:pPr>
      <w:r w:rsidRPr="000D05F6">
        <w:rPr>
          <w:b/>
          <w:bCs/>
        </w:rPr>
        <w:t>6. Risk Mitigation</w:t>
      </w:r>
    </w:p>
    <w:p w14:paraId="633131D8" w14:textId="77777777" w:rsidR="000D05F6" w:rsidRPr="000D05F6" w:rsidRDefault="000D05F6" w:rsidP="000D05F6">
      <w:pPr>
        <w:numPr>
          <w:ilvl w:val="0"/>
          <w:numId w:val="3"/>
        </w:numPr>
      </w:pPr>
      <w:r w:rsidRPr="000D05F6">
        <w:rPr>
          <w:b/>
          <w:bCs/>
        </w:rPr>
        <w:t>Factor Decay:</w:t>
      </w:r>
      <w:r w:rsidRPr="000D05F6">
        <w:t> Monthly re-estimation</w:t>
      </w:r>
    </w:p>
    <w:p w14:paraId="715214E4" w14:textId="77777777" w:rsidR="000D05F6" w:rsidRPr="000D05F6" w:rsidRDefault="000D05F6" w:rsidP="000D05F6">
      <w:pPr>
        <w:numPr>
          <w:ilvl w:val="0"/>
          <w:numId w:val="3"/>
        </w:numPr>
      </w:pPr>
      <w:r w:rsidRPr="000D05F6">
        <w:rPr>
          <w:b/>
          <w:bCs/>
        </w:rPr>
        <w:t>Regime Shifts:</w:t>
      </w:r>
      <w:r w:rsidRPr="000D05F6">
        <w:t> Volatility clustering detector</w:t>
      </w:r>
    </w:p>
    <w:p w14:paraId="74F85E78" w14:textId="77777777" w:rsidR="000D05F6" w:rsidRPr="000D05F6" w:rsidRDefault="000D05F6" w:rsidP="000D05F6">
      <w:pPr>
        <w:numPr>
          <w:ilvl w:val="0"/>
          <w:numId w:val="3"/>
        </w:numPr>
      </w:pPr>
      <w:r w:rsidRPr="000D05F6">
        <w:rPr>
          <w:b/>
          <w:bCs/>
        </w:rPr>
        <w:t>Execution Risk:</w:t>
      </w:r>
      <w:r w:rsidRPr="000D05F6">
        <w:t> Phased rollout to 5% order flow</w:t>
      </w:r>
    </w:p>
    <w:p w14:paraId="00AC270B" w14:textId="77777777" w:rsidR="00297DFA" w:rsidRDefault="00297DFA"/>
    <w:sectPr w:rsidR="00297DFA" w:rsidSect="008441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9AE"/>
    <w:multiLevelType w:val="multilevel"/>
    <w:tmpl w:val="FC7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0309A"/>
    <w:multiLevelType w:val="multilevel"/>
    <w:tmpl w:val="9C9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67CFA"/>
    <w:multiLevelType w:val="multilevel"/>
    <w:tmpl w:val="AFF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9D"/>
    <w:rsid w:val="000D05F6"/>
    <w:rsid w:val="001E770B"/>
    <w:rsid w:val="00297DFA"/>
    <w:rsid w:val="002F07D6"/>
    <w:rsid w:val="0061479D"/>
    <w:rsid w:val="0084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1693"/>
  <w15:chartTrackingRefBased/>
  <w15:docId w15:val="{0A74FE26-64E6-4B42-A475-3ACDA72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2级标题"/>
    <w:basedOn w:val="a"/>
    <w:next w:val="a"/>
    <w:link w:val="20"/>
    <w:uiPriority w:val="9"/>
    <w:unhideWhenUsed/>
    <w:qFormat/>
    <w:rsid w:val="0084418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3级标题"/>
    <w:basedOn w:val="a"/>
    <w:next w:val="a"/>
    <w:link w:val="30"/>
    <w:uiPriority w:val="9"/>
    <w:unhideWhenUsed/>
    <w:qFormat/>
    <w:rsid w:val="0084418B"/>
    <w:pPr>
      <w:spacing w:before="260" w:after="260" w:line="415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84418B"/>
    <w:rPr>
      <w:bCs/>
      <w:sz w:val="24"/>
      <w:szCs w:val="32"/>
    </w:rPr>
  </w:style>
  <w:style w:type="character" w:customStyle="1" w:styleId="20">
    <w:name w:val="标题 2 字符"/>
    <w:aliases w:val="2级标题 字符"/>
    <w:basedOn w:val="a0"/>
    <w:link w:val="2"/>
    <w:uiPriority w:val="9"/>
    <w:rsid w:val="0084418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2025-08-15T02:32:00Z</dcterms:created>
  <dcterms:modified xsi:type="dcterms:W3CDTF">2025-08-15T02:34:00Z</dcterms:modified>
</cp:coreProperties>
</file>