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Облагается налогом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0 - 4000 фунтов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облагается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4000- 5500 фунтов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 5500 - 33500фунтов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33500 фунтов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Д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2.  1.</w:t>
      </w:r>
      <w:r w:rsidDel="00000000" w:rsidR="00000000" w:rsidRPr="00000000">
        <w:rPr>
          <w:b w:val="1"/>
          <w:rtl w:val="0"/>
        </w:rPr>
        <w:t xml:space="preserve">Вариант Д</w:t>
      </w:r>
      <w:r w:rsidDel="00000000" w:rsidR="00000000" w:rsidRPr="00000000">
        <w:rPr>
          <w:rtl w:val="0"/>
        </w:rPr>
        <w:t xml:space="preserve">, так как он является участником банка. По скольку карта Gold выше по уровню, и в ней больше преимуществ чем в серебряной, и если клиент  уже длительное время сотрудничает с этим банком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2. Клиент не является участником, поэтому ему не будем предлагать обновление. Также у него уже есть платиновая комната, а она выше по уровню чем Gold.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