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ГРОМАДСЬКА ОРГАНІЗАЦІЯ «ТАЛАН ЮА»</w:t>
      </w:r>
    </w:p>
    <w:p>
      <w:pPr>
        <w:spacing w:after="240"/>
        <w:jc w:val="center"/>
      </w:pPr>
      <w:r>
        <w:rPr>
          <w:sz w:val="18"/>
        </w:rPr>
        <w:t>ЄДРПОУ: 45119390 | ngo.talan.ua@gmail.com | +38 (063) 656-89-99</w:t>
      </w:r>
    </w:p>
    <w:p>
      <w:pPr>
        <w:spacing w:after="360"/>
        <w:jc w:val="center"/>
      </w:pPr>
      <w:r>
        <w:rPr>
          <w:color w:val="808080"/>
        </w:rPr>
        <w:t>__________________________________________________________________</w:t>
      </w:r>
    </w:p>
    <w:p>
      <w:pPr>
        <w:spacing w:after="360"/>
        <w:jc w:val="center"/>
      </w:pPr>
      <w:r>
        <w:rPr>
          <w:b/>
          <w:sz w:val="32"/>
        </w:rPr>
        <w:t>КОНЦЕПЦІЯ ПРОЄКТУ «НОВИЙ ШЛЯХ»</w:t>
        <w:br/>
        <w:t>(Гібридна ветеранська екосистема Черкащини)</w:t>
      </w:r>
    </w:p>
    <w:p>
      <w:r>
        <w:t>Проєкт «Новий Шлях» — це інноваційна модель реінтеграції ветеранів війни, військовослужбовців та членів їхніх сімей. Ініціатива поєднує класичну фізичну підтримку в Черкаському хабі з сучасними IT-інструментами, створюючи єдиний простір допомоги, координації та розвитку.</w:t>
      </w:r>
    </w:p>
    <w:p>
      <w:pPr>
        <w:spacing w:before="240" w:after="80"/>
      </w:pPr>
      <w:r>
        <w:rPr>
          <w:b/>
          <w:sz w:val="26"/>
        </w:rPr>
        <w:t>📌 Загальні відомості:</w:t>
      </w:r>
    </w:p>
    <w:p>
      <w:pPr>
        <w:pStyle w:val="ListBullet"/>
        <w:spacing w:after="80"/>
      </w:pPr>
      <w:r>
        <w:rPr>
          <w:b/>
        </w:rPr>
        <w:t xml:space="preserve">Ініціатор проєкту: </w:t>
      </w:r>
      <w:r>
        <w:t>Громадська організація «ТАЛАН ЮА» (ЄДРПОУ 45119390).</w:t>
      </w:r>
    </w:p>
    <w:p>
      <w:pPr>
        <w:pStyle w:val="ListBullet"/>
        <w:spacing w:after="80"/>
      </w:pPr>
      <w:r>
        <w:rPr>
          <w:b/>
        </w:rPr>
        <w:t xml:space="preserve">Керівник проєкту: </w:t>
      </w:r>
      <w:r>
        <w:t>Шаповал Тимур Юрійович.</w:t>
      </w:r>
    </w:p>
    <w:p>
      <w:pPr>
        <w:pStyle w:val="ListBullet"/>
        <w:spacing w:after="80"/>
      </w:pPr>
      <w:r>
        <w:rPr>
          <w:b/>
        </w:rPr>
        <w:t xml:space="preserve">Географія реалізації: </w:t>
      </w:r>
      <w:r>
        <w:t>Черкаська міська територіальна громада.</w:t>
      </w:r>
    </w:p>
    <w:p>
      <w:pPr>
        <w:pStyle w:val="ListBullet"/>
        <w:spacing w:after="80"/>
      </w:pPr>
      <w:r>
        <w:rPr>
          <w:b/>
        </w:rPr>
        <w:t xml:space="preserve">Джерело фінансування: </w:t>
      </w:r>
      <w:r>
        <w:t>100% за рахунок гранту від Ради міжнародних наукових досліджень та обмінів (IREX) за підтримки Державного департаменту США. Жодних витрат з місцевого бюджету Черкас.</w:t>
      </w:r>
    </w:p>
    <w:p>
      <w:pPr>
        <w:spacing w:before="240" w:after="80"/>
      </w:pPr>
      <w:r>
        <w:rPr>
          <w:b/>
          <w:sz w:val="26"/>
        </w:rPr>
        <w:t>🎯 Головна мета проєкту:</w:t>
      </w:r>
    </w:p>
    <w:p>
      <w:r>
        <w:t>Забезпечити ветеранам та їхнім родинам швидкий, безперешкодний та якісний доступ до психологічної, юридичної, соціальної та професійної підтримки шляхом об'єднання державних послуг, громадського сектору та передових цифрових технологій.</w:t>
      </w:r>
    </w:p>
    <w:p>
      <w:pPr>
        <w:spacing w:before="240" w:after="80"/>
      </w:pPr>
      <w:r>
        <w:rPr>
          <w:b/>
          <w:sz w:val="26"/>
        </w:rPr>
        <w:t>🧱 Ключові компоненти екосистеми:</w:t>
      </w:r>
    </w:p>
    <w:p>
      <w:pPr>
        <w:pStyle w:val="ListBullet"/>
        <w:spacing w:after="80"/>
      </w:pPr>
      <w:r>
        <w:rPr>
          <w:b/>
        </w:rPr>
        <w:t xml:space="preserve">1. Фізичний ветеранський хаб (м. Черкаси): </w:t>
      </w:r>
      <w:r>
        <w:t>Безкоштовні консультації кваліфікованого юриста та кризового психолога, коворкінг, проведення інтеграційних та освітніх заходів, робота групи взаємодопомоги.</w:t>
      </w:r>
    </w:p>
    <w:p>
      <w:pPr>
        <w:pStyle w:val="ListBullet"/>
        <w:spacing w:after="80"/>
      </w:pPr>
      <w:r>
        <w:rPr>
          <w:b/>
        </w:rPr>
        <w:t xml:space="preserve">2. Цифровий портал та Smart-бот: </w:t>
      </w:r>
      <w:r>
        <w:t>Єдиний ветеранський кабінет з базою знань щодо пільг, статусів, послуг. Інтеграція локального штучного інтелекту (AI-асистента) для швидкої орієнтації в законодавстві.</w:t>
      </w:r>
    </w:p>
    <w:p>
      <w:pPr>
        <w:pStyle w:val="ListBullet"/>
        <w:spacing w:after="80"/>
      </w:pPr>
      <w:r>
        <w:rPr>
          <w:b/>
        </w:rPr>
        <w:t xml:space="preserve">3. Розумне працевлаштування та перенавчання: </w:t>
      </w:r>
      <w:r>
        <w:t>Автоматизоване співставлення навичок ветерана з вимогами роботодавців Черкащини, організація курсів перекваліфікації спільно з Черкаською філією центру зайнятості.</w:t>
      </w:r>
    </w:p>
    <w:p>
      <w:pPr>
        <w:pStyle w:val="ListBullet"/>
        <w:spacing w:after="80"/>
      </w:pPr>
      <w:r>
        <w:rPr>
          <w:b/>
        </w:rPr>
        <w:t xml:space="preserve">4. Мережа перенаправлення (Referral System): </w:t>
      </w:r>
      <w:r>
        <w:t>Інтеграція ресурсів Черкаської міської ради, ТЦК та СП, медичних закладів та бізнесу для миттєвої передачі запиту ветерана до профільного спеціаліста.</w:t>
      </w:r>
    </w:p>
    <w:p>
      <w:pPr>
        <w:spacing w:before="240" w:after="80"/>
      </w:pPr>
      <w:r>
        <w:rPr>
          <w:b/>
          <w:sz w:val="26"/>
        </w:rPr>
        <w:t>📊 Очікувані результати:</w:t>
      </w:r>
    </w:p>
    <w:p>
      <w:pPr>
        <w:pStyle w:val="ListBullet"/>
        <w:spacing w:after="80"/>
      </w:pPr>
      <w:r>
        <w:rPr>
          <w:b/>
        </w:rPr>
        <w:t xml:space="preserve">Для ветеранів: </w:t>
      </w:r>
      <w:r>
        <w:t>Подолання бюрократичних бар'єрів, миттєве розв'язання юридичних та психологічних проблем, адаптація до цивільного життя та успішне працевлаштування.</w:t>
      </w:r>
    </w:p>
    <w:p>
      <w:pPr>
        <w:pStyle w:val="ListBullet"/>
        <w:spacing w:after="80"/>
      </w:pPr>
      <w:r>
        <w:rPr>
          <w:b/>
        </w:rPr>
        <w:t xml:space="preserve">Для громади міста: </w:t>
      </w:r>
      <w:r>
        <w:t>Зниження соціальної напруги, створення дієвого партнерства між державними органами, ГО та бізнесом, залучення міжнародних інвестицій.</w:t>
      </w:r>
    </w:p>
    <w:p>
      <w:pPr>
        <w:pStyle w:val="ListBullet"/>
        <w:spacing w:after="80"/>
      </w:pPr>
      <w:r>
        <w:rPr>
          <w:b/>
        </w:rPr>
        <w:t xml:space="preserve">Для державних установ: </w:t>
      </w:r>
      <w:r>
        <w:t>Суттєве зниження навантаження на працівників ТЦК та СП, Департаменту соціальної політики та центру зайнятості завдяки автоматизації та первинній обробці запитів спеціалістами хабу.</w:t>
      </w:r>
    </w:p>
    <w:p>
      <w:pPr>
        <w:spacing w:before="360"/>
        <w:jc w:val="center"/>
      </w:pPr>
      <w:r>
        <w:rPr>
          <w:i/>
          <w:sz w:val="20"/>
        </w:rPr>
        <w:t>ГО «ТАЛАН ЮА» — Об'єднуємо технології та людське тепло задля підтримки тих, хто захищав наше майбутнє!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