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rPr>
        <w:t>Міжнародній раді наукових досліджень та обмінів (IREX)</w:t>
        <w:br/>
        <w:t>Конкурсна комісія програми підтримки ветеранів</w:t>
        <w:br/>
        <w:br/>
      </w:r>
    </w:p>
    <w:p>
      <w:pPr>
        <w:jc w:val="right"/>
      </w:pPr>
      <w:r>
        <w:rPr>
          <w:i/>
        </w:rPr>
        <w:t>від: Черкаський обласний територіальний центр комплектування та соціальної підтримки (ТЦК та СП)</w:t>
        <w:br/>
        <w:t>Адреса: м. Черкаси</w:t>
        <w:br/>
      </w:r>
    </w:p>
    <w:p>
      <w:pPr>
        <w:spacing w:after="480"/>
      </w:pPr>
    </w:p>
    <w:p>
      <w:pPr>
        <w:spacing w:after="360"/>
        <w:jc w:val="center"/>
      </w:pPr>
      <w:r>
        <w:rPr>
          <w:b/>
          <w:sz w:val="28"/>
        </w:rPr>
        <w:t>ЛИСТ ПІДТРИМКИ ПРОЄКТУ «НОВИЙ ШЛЯХ»</w:t>
      </w:r>
    </w:p>
    <w:p>
      <w:r>
        <w:t>Черкаський обласний територіальний центр комплектування та соціальної підтримки (ТЦК та СП) засвідчує свою повагу Міжнародній раді наукових досліджень та обмінів (IREX) та цим листом висловлює цілковиту підтримку проєктній заявці Громадської організації «ТАЛАН ЮА» (ЄДРПОУ: 45119390) під назвою «Новий Шлях: Цифрова диспетчерська та регіональний координаційний хаб підтримки ветеранів Черкащини».</w:t>
      </w:r>
    </w:p>
    <w:p>
      <w:r>
        <w:t>Черкаський обласний ТЦК та СП висловлює повну готовність до взаємодії в межах проєкту «Новий Шлях». Спільна робота дозволить здійснювати первинне інформування військовослужбовців на етапі демобілізації та швидко направляти їх до бази перевірених фахівців. Ми впроваджуємо розповсюдження QR-кодів нашої цифрової диспетчерської безпосередньо у приміщеннях ТЦК для забезпечення швидкого доступу ветеранів до допомоги.</w:t>
      </w:r>
    </w:p>
    <w:p>
      <w:r>
        <w:t>Ми переконані, що створення гібридної «Цифрової диспетчерської» є нагальною та критично важливою ініціативою для Черкаської області. Платформа «Новий Шлях» дозволить об'єднати зусилля державного, громадського та приватного секторів, усунути бюрократичні бар'єри та забезпечити ветеранам швидкий і прозорий доступ до верифікованих фахівців.</w:t>
      </w:r>
    </w:p>
    <w:p>
      <w:r>
        <w:t>Зі свого боку, Черкаський обласний територіальний центр комплектування та соціальної підтримки (ТЦК та СП) підтверджує готовність до активної співпраці з ГО «Талан ЮА», участі в роботі регіональної координаційної ради, спільного проведення інформаційних заходів та підписання відповідного Меморандуму про співпрацю (MoU) після початку реалізації проєкту.</w:t>
      </w:r>
    </w:p>
    <w:p>
      <w:pPr>
        <w:keepNext/>
      </w:pPr>
      <w:r>
        <w:t>Просимо конкурсну комісію IREX підтримати цю ініціативу, яка має стратегічне значення для успішної реінтеграції ветеранів та членів їхніх родин у нашій громаді.</w:t>
      </w:r>
    </w:p>
    <w:p>
      <w:pPr>
        <w:keepNext/>
        <w:spacing w:before="480" w:after="240"/>
        <w:jc w:val="center"/>
      </w:pPr>
      <w:r>
        <w:rPr>
          <w:b w:val="0"/>
        </w:rPr>
        <w:t>Підпис сторони:</w:t>
      </w:r>
    </w:p>
    <w:tbl>
      <w:tblPr>
        <w:tblW w:type="auto" w:w="0"/>
        <w:jc w:val="center"/>
        <w:tblLayout w:type="fixed"/>
        <w:tblLook w:firstColumn="1" w:firstRow="1" w:lastColumn="0" w:lastRow="0" w:noHBand="0" w:noVBand="1" w:val="04A0"/>
      </w:tblPr>
      <w:tblGrid>
        <w:gridCol w:w="9638"/>
      </w:tblGrid>
      <w:tr>
        <w:tc>
          <w:tcPr>
            <w:tcW w:type="dxa" w:w="9972"/>
          </w:tcPr>
          <w:p>
            <w:pPr>
              <w:jc w:val="right"/>
            </w:pPr>
            <w:r>
              <w:rPr>
                <w:b/>
              </w:rPr>
              <w:t>Начальник обласного ТЦК та СП</w:t>
              <w:br/>
              <w:t>Черкаський обласний територіальний центр комплектування та соціальної підтримки (ТЦК та СП)</w:t>
            </w:r>
          </w:p>
        </w:tc>
      </w:tr>
      <w:tr>
        <w:tc>
          <w:tcPr>
            <w:tcW w:type="dxa" w:w="9972"/>
          </w:tcPr>
          <w:p>
            <w:pPr>
              <w:jc w:val="right"/>
            </w:pPr>
            <w:r>
              <w:br/>
              <w:t>_________________ / ІМ'Я ПРІЗВИЩЕ /</w:t>
              <w:br/>
              <w:t>М.П.</w:t>
            </w:r>
          </w:p>
        </w:tc>
      </w:tr>
    </w:tbl>
    <w:sectPr w:rsidR="00FC693F" w:rsidRPr="0006063C" w:rsidSect="00034616">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