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b w:val="0"/>
          <w:sz w:val="28"/>
        </w:rPr>
        <w:t>ГРОМАДСЬКА ОРГАНІЗАЦІЯ «ТАЛАН ЮА»</w:t>
      </w:r>
    </w:p>
    <w:p>
      <w:pPr>
        <w:spacing w:after="160" w:line="240" w:lineRule="auto"/>
        <w:jc w:val="center"/>
      </w:pPr>
      <w:r>
        <w:rPr>
          <w:sz w:val="16"/>
        </w:rPr>
        <w:t>ЄДРПОУ: 45119390 | р/р UA893052990000026001050211999 у АТ СЕНС БАНК, МФО 305299</w:t>
      </w:r>
    </w:p>
    <w:p>
      <w:pPr>
        <w:spacing w:after="320" w:line="240" w:lineRule="auto"/>
        <w:jc w:val="center"/>
      </w:pPr>
      <w:r>
        <w:rPr>
          <w:sz w:val="16"/>
        </w:rPr>
        <w:t>Юридична адреса: м. Черкаси, вул. Смілянська, 44, оф. 212 | Тел: +38 (063) 656-89-99 | ngo.talan.ua@gmail.com</w:t>
      </w:r>
    </w:p>
    <w:p>
      <w:pPr>
        <w:spacing w:after="80"/>
        <w:jc w:val="center"/>
      </w:pPr>
      <w:r>
        <w:rPr>
          <w:b/>
          <w:sz w:val="28"/>
        </w:rPr>
        <w:t>ГРАНТОВА ЗАЯВКА НА КОНКУРС IREX</w:t>
      </w:r>
    </w:p>
    <w:p>
      <w:pPr>
        <w:spacing w:after="320"/>
        <w:jc w:val="center"/>
      </w:pPr>
      <w:r>
        <w:rPr>
          <w:i/>
          <w:sz w:val="24"/>
        </w:rPr>
        <w:t>Проєкт: «Новий Шлях: Цифрова диспетчерська та регіональний координаційний хаб підтримки ветеранів Черкащини»</w:t>
      </w:r>
    </w:p>
    <w:tbl>
      <w:tblPr>
        <w:tblStyle w:val="TableGrid"/>
        <w:tblW w:type="auto" w:w="0"/>
        <w:jc w:val="center"/>
        <w:tblLook w:firstColumn="1" w:firstRow="1" w:lastColumn="0" w:lastRow="0" w:noHBand="0" w:noVBand="1" w:val="04A0"/>
      </w:tblPr>
      <w:tblGrid>
        <w:gridCol w:w="4986"/>
        <w:gridCol w:w="4986"/>
      </w:tblGrid>
      <w:tr>
        <w:tc>
          <w:tcPr>
            <w:tcW w:type="dxa" w:w="4986"/>
          </w:tcPr>
          <w:p/>
        </w:tc>
        <w:tc>
          <w:tcPr>
            <w:tcW w:type="dxa" w:w="4986"/>
          </w:tcPr>
          <w:p/>
        </w:tc>
      </w:tr>
      <w:tr>
        <w:tc>
          <w:tcPr>
            <w:tcW w:type="dxa" w:w="4986"/>
          </w:tcPr>
          <w:p>
            <w:pPr>
              <w:spacing w:before="60" w:after="60" w:line="276" w:lineRule="auto"/>
              <w:jc w:val="center"/>
            </w:pPr>
            <w:r>
              <w:rPr>
                <w:b/>
              </w:rPr>
              <w:t>Параметр</w:t>
            </w:r>
          </w:p>
        </w:tc>
        <w:tc>
          <w:tcPr>
            <w:tcW w:type="dxa" w:w="4986"/>
          </w:tcPr>
          <w:p>
            <w:pPr>
              <w:spacing w:before="60" w:after="60" w:line="276" w:lineRule="auto"/>
              <w:jc w:val="center"/>
            </w:pPr>
            <w:r>
              <w:rPr>
                <w:b/>
              </w:rPr>
              <w:t>Дані заявки</w:t>
            </w:r>
          </w:p>
        </w:tc>
      </w:tr>
      <w:tr>
        <w:tc>
          <w:tcPr>
            <w:tcW w:type="dxa" w:w="4986"/>
          </w:tcPr>
          <w:p>
            <w:pPr>
              <w:spacing w:before="60" w:after="60" w:line="276" w:lineRule="auto"/>
              <w:jc w:val="left"/>
            </w:pPr>
            <w:r>
              <w:t>Конкурс IREX</w:t>
            </w:r>
          </w:p>
        </w:tc>
        <w:tc>
          <w:tcPr>
            <w:tcW w:type="dxa" w:w="4986"/>
          </w:tcPr>
          <w:p>
            <w:pPr>
              <w:spacing w:before="60" w:after="60" w:line="276" w:lineRule="auto"/>
            </w:pPr>
            <w:r>
              <w:t>Регіональна координація систем підтримки ветеранів (UVRR RFA)</w:t>
            </w:r>
          </w:p>
        </w:tc>
      </w:tr>
      <w:tr>
        <w:tc>
          <w:tcPr>
            <w:tcW w:type="dxa" w:w="4986"/>
          </w:tcPr>
          <w:p>
            <w:pPr>
              <w:spacing w:before="60" w:after="60" w:line="276" w:lineRule="auto"/>
              <w:jc w:val="left"/>
            </w:pPr>
            <w:r>
              <w:t>Організація-заявник</w:t>
            </w:r>
          </w:p>
        </w:tc>
        <w:tc>
          <w:tcPr>
            <w:tcW w:type="dxa" w:w="4986"/>
          </w:tcPr>
          <w:p>
            <w:pPr>
              <w:spacing w:before="60" w:after="60" w:line="276" w:lineRule="auto"/>
            </w:pPr>
            <w:r>
              <w:t>Громадська організація «ТАЛАН ЮА» (ЄДРПОУ: 45119390)</w:t>
            </w:r>
          </w:p>
        </w:tc>
      </w:tr>
      <w:tr>
        <w:tc>
          <w:tcPr>
            <w:tcW w:type="dxa" w:w="4986"/>
          </w:tcPr>
          <w:p>
            <w:pPr>
              <w:spacing w:before="60" w:after="60" w:line="276" w:lineRule="auto"/>
              <w:jc w:val="left"/>
            </w:pPr>
            <w:r>
              <w:t>Сума запиту / Тривалість</w:t>
            </w:r>
          </w:p>
        </w:tc>
        <w:tc>
          <w:tcPr>
            <w:tcW w:type="dxa" w:w="4986"/>
          </w:tcPr>
          <w:p>
            <w:pPr>
              <w:spacing w:before="60" w:after="60" w:line="276" w:lineRule="auto"/>
            </w:pPr>
            <w:r>
              <w:t>$100,000 USD / 12 місяців</w:t>
            </w:r>
          </w:p>
        </w:tc>
      </w:tr>
      <w:tr>
        <w:tc>
          <w:tcPr>
            <w:tcW w:type="dxa" w:w="4986"/>
          </w:tcPr>
          <w:p>
            <w:pPr>
              <w:spacing w:before="60" w:after="60" w:line="276" w:lineRule="auto"/>
              <w:jc w:val="left"/>
            </w:pPr>
            <w:r>
              <w:t>Географія проєкту</w:t>
            </w:r>
          </w:p>
        </w:tc>
        <w:tc>
          <w:tcPr>
            <w:tcW w:type="dxa" w:w="4986"/>
          </w:tcPr>
          <w:p>
            <w:pPr>
              <w:spacing w:before="60" w:after="60" w:line="276" w:lineRule="auto"/>
            </w:pPr>
            <w:r>
              <w:t>Черкаська область (м. Черкаси та територіальні громади)</w:t>
            </w:r>
          </w:p>
        </w:tc>
      </w:tr>
      <w:tr>
        <w:tc>
          <w:tcPr>
            <w:tcW w:type="dxa" w:w="4986"/>
          </w:tcPr>
          <w:p>
            <w:pPr>
              <w:spacing w:before="60" w:after="60" w:line="276" w:lineRule="auto"/>
              <w:jc w:val="left"/>
            </w:pPr>
            <w:r>
              <w:t>Веб-портал / Бот</w:t>
            </w:r>
          </w:p>
        </w:tc>
        <w:tc>
          <w:tcPr>
            <w:tcW w:type="dxa" w:w="4986"/>
          </w:tcPr>
          <w:p>
            <w:pPr>
              <w:spacing w:before="60" w:after="60" w:line="276" w:lineRule="auto"/>
            </w:pPr>
            <w:r>
              <w:t>https://novyshlyakh.ua | @Veteran_NovyShlyakh_Bot</w:t>
            </w:r>
          </w:p>
        </w:tc>
      </w:tr>
    </w:tbl>
    <w:p>
      <w:pPr>
        <w:spacing w:after="240"/>
      </w:pPr>
    </w:p>
    <w:p>
      <w:pPr>
        <w:keepNext/>
        <w:spacing w:before="240" w:after="120"/>
      </w:pPr>
      <w:r>
        <w:rPr>
          <w:b/>
          <w:sz w:val="24"/>
        </w:rPr>
        <w:t>1. Анотація проєкту (Executive Summary)</w:t>
      </w:r>
    </w:p>
    <w:p>
      <w:r>
        <w:t>Проєкт «Новий Шлях» створює інноваційну гібридну модель регіональної координації ветеранських послуг у Черкаській області. Замість традиційних бюрократичних рад та статичних довідників, ми впроваджуємо «Цифрову диспетчерську» — platform прямої дії, що об’єднує верифіковану спільноту фахівців (юристів, психологів, реабілітологів, роботодавців) та ветеранську спільноту.</w:t>
      </w:r>
    </w:p>
    <w:p>
      <w:r>
        <w:t>Проєкт забезпечує найкоротший шлях від потреби ветерана до реальної послуги через автоматизовану систему AI-маршрутизації, обов'язковий контроль якості (follow-up за 48 годин) та фізичну точку супроводу (Intake Point) у Черкасах. Наша мета — перетворити хаотичний ринок допомоги на керовану, прозору та підзвітну екосистему.</w:t>
      </w:r>
    </w:p>
    <w:p>
      <w:pPr>
        <w:keepNext/>
        <w:spacing w:before="240" w:after="120"/>
      </w:pPr>
      <w:r>
        <w:rPr>
          <w:b/>
          <w:sz w:val="24"/>
        </w:rPr>
        <w:t>2. Обґрунтування актуальності (Problem Statement)</w:t>
      </w:r>
    </w:p>
    <w:p>
      <w:r>
        <w:t>Ветеранська спільнота Черкащини стикається з трьома критичними бар’єрами при поверненні до цивільного життя:</w:t>
      </w:r>
    </w:p>
    <w:p>
      <w:pPr>
        <w:pStyle w:val="ListBullet"/>
        <w:spacing w:after="80" w:line="276" w:lineRule="auto"/>
      </w:pPr>
      <w:r>
        <w:rPr>
          <w:b/>
        </w:rPr>
        <w:t xml:space="preserve">1. Інформаційний хаос та фрагментарність: </w:t>
      </w:r>
      <w:r>
        <w:t>Послуги розпорошені між державними установами, різними ГО та приватним сектором. Ветеран витрачає місяці на пошук потрібного фахівця.</w:t>
      </w:r>
    </w:p>
    <w:p>
      <w:pPr>
        <w:pStyle w:val="ListBullet"/>
        <w:spacing w:after="80" w:line="276" w:lineRule="auto"/>
      </w:pPr>
      <w:r>
        <w:rPr>
          <w:b/>
        </w:rPr>
        <w:t xml:space="preserve">2. Низька довіра та відсутність фільтрів якості: </w:t>
      </w:r>
      <w:r>
        <w:t>Відсутня інституція, яка б перевіряла реальну кваліфікацію юристів чи психологів, що пропонують послуги ветеранам.</w:t>
      </w:r>
    </w:p>
    <w:p>
      <w:pPr>
        <w:pStyle w:val="ListBullet"/>
        <w:spacing w:after="80" w:line="276" w:lineRule="auto"/>
      </w:pPr>
      <w:r>
        <w:rPr>
          <w:b/>
        </w:rPr>
        <w:t xml:space="preserve">3. Бюрократична затримка: </w:t>
      </w:r>
      <w:r>
        <w:t>Довгий шлях від первинного звернення до отримання конкретної допомоги (оформлення УБД, проходження МСЕК/ВЛК, компенсації).</w:t>
      </w:r>
    </w:p>
    <w:p>
      <w:r>
        <w:t>Існуючі координаційні ради на рівні області часто фокусуються на стратегічних та протокальних нарадах, залишаючи щоденну операційну взаємодію «ветеран — спеціаліст» некерованою. Проєкт «Новий Шлях» вирішує саме цю проблему, надаючи владі та громаді дієвий цифровий інструмент прямої координації.</w:t>
      </w:r>
    </w:p>
    <w:p>
      <w:pPr>
        <w:keepNext/>
        <w:spacing w:before="240" w:after="120"/>
      </w:pPr>
      <w:r>
        <w:rPr>
          <w:b/>
          <w:sz w:val="24"/>
        </w:rPr>
        <w:t>3. Мета та завдання проєкту (Goal &amp; Objectives)</w:t>
      </w:r>
    </w:p>
    <w:p>
      <w:r>
        <w:t>Мета: Побудувати сталу регіональну екосистему підтримки та реінтеграції ветеранів через об'єднання ресурсів громадського, державного та приватного секторів Черкащини в єдину «Цифрову диспетчерську».</w:t>
      </w:r>
    </w:p>
    <w:p>
      <w:pPr>
        <w:pStyle w:val="ListBullet"/>
        <w:spacing w:after="80" w:line="276" w:lineRule="auto"/>
      </w:pPr>
      <w:r>
        <w:rPr>
          <w:b/>
        </w:rPr>
        <w:t xml:space="preserve">Objective 1: </w:t>
      </w:r>
      <w:r>
        <w:t>Сформувати та верифікувати регіональну мережу з 150+ фахівців Черкащини (юристи, кризові психологи, кар'єрні радники, лікарі) з інтегрованою системою рейтингування.</w:t>
      </w:r>
    </w:p>
    <w:p>
      <w:pPr>
        <w:pStyle w:val="ListBullet"/>
        <w:spacing w:after="80" w:line="276" w:lineRule="auto"/>
      </w:pPr>
      <w:r>
        <w:rPr>
          <w:b/>
        </w:rPr>
        <w:t xml:space="preserve">Objective 2: </w:t>
      </w:r>
      <w:r>
        <w:t>Модернізувати IT-інфраструктуру порталу «Новий Шлях» (Telegram Mini App + Web) до рівня захищеного автоматизованого диспетчерського центру на базі професійної СУБД SQLite з логуванням усіх звернень.</w:t>
      </w:r>
    </w:p>
    <w:p>
      <w:pPr>
        <w:pStyle w:val="ListBullet"/>
        <w:spacing w:after="80" w:line="276" w:lineRule="auto"/>
      </w:pPr>
      <w:r>
        <w:rPr>
          <w:b/>
        </w:rPr>
        <w:t xml:space="preserve">Objective 3: </w:t>
      </w:r>
      <w:r>
        <w:t>Забезпечити регулярний фізичний супровід та консультування ветеранів через офлайн-хаб (Intake Point) у м. Черкаси для проведення 1-2 глибинних прийомів щодня.</w:t>
      </w:r>
    </w:p>
    <w:p>
      <w:pPr>
        <w:pStyle w:val="ListBullet"/>
        <w:spacing w:after="80" w:line="276" w:lineRule="auto"/>
      </w:pPr>
      <w:r>
        <w:rPr>
          <w:b/>
        </w:rPr>
        <w:t xml:space="preserve">Objective 4: </w:t>
      </w:r>
      <w:r>
        <w:t>Провести 5 стратегічних координаційних заходів (круглі столи, панельні дискусії, прес-конференції) для повної інтеграції платформи в систему Черкаської ОВА, міської ради та територіальних громад.</w:t>
      </w:r>
    </w:p>
    <w:p>
      <w:pPr>
        <w:keepNext/>
        <w:spacing w:before="240" w:after="120"/>
      </w:pPr>
      <w:r>
        <w:rPr>
          <w:b/>
          <w:sz w:val="24"/>
        </w:rPr>
        <w:t>4. Досвід організації (Past Performance &amp; Organizational Capacity)</w:t>
      </w:r>
    </w:p>
    <w:p>
      <w:r>
        <w:t>ГО «Талан ЮА» має підтверджену історію безперервної кризової, виробничої та логістичної роботи, починаючи з другого дня повномасштабного вторгнення РФ. Хоча для організації це перша масштабна інституційна грантова заявка, команда володіє потужним практичним досвідом управління складними проєктними циклами в умовах високого ризику та обмежених ресурсів.</w:t>
      </w:r>
    </w:p>
    <w:p>
      <w:pPr>
        <w:pStyle w:val="ListBullet"/>
        <w:spacing w:after="80" w:line="276" w:lineRule="auto"/>
      </w:pPr>
      <w:r>
        <w:rPr>
          <w:b/>
        </w:rPr>
        <w:t xml:space="preserve">Виробництво та постачання тактичного спорядження: </w:t>
      </w:r>
      <w:r>
        <w:t>Організація власними силами з нуля налагодила виробництво та безперебійне постачання розвантажувальних систем, РПС, спальних мішків, матраців, тактичних рукавиць, устілок, бафів та балаклав для передових підрозділів Сил оборони.</w:t>
      </w:r>
    </w:p>
    <w:p>
      <w:pPr>
        <w:pStyle w:val="ListBullet"/>
        <w:spacing w:after="80" w:line="276" w:lineRule="auto"/>
      </w:pPr>
      <w:r>
        <w:rPr>
          <w:b/>
        </w:rPr>
        <w:t xml:space="preserve">Складна технічна логістика та ремонт: </w:t>
      </w:r>
      <w:r>
        <w:t>Команда забезпечувала не лише закупівлю та доставку десятків автомобілів, шин, FPV-дронів, систем Starlink, маскувальних сіток та спеціалізованого оборонного устаткування, а й організувала системний ремонт і відновлення як легкового транспорту, так і важкої військової техніки.</w:t>
      </w:r>
    </w:p>
    <w:p>
      <w:pPr>
        <w:pStyle w:val="ListBullet"/>
        <w:spacing w:after="80" w:line="276" w:lineRule="auto"/>
      </w:pPr>
      <w:r>
        <w:rPr>
          <w:b/>
        </w:rPr>
        <w:t xml:space="preserve">Операційний менеджмент (Кожен збір як проєктний цикл): </w:t>
      </w:r>
      <w:r>
        <w:t>Кожну волонтерську кампанію команда реалізовувала за класичною методологією проєктного менеджменту: ідентифікація проблеми → збір фінансових ресурсів → пошук та експертна закупівля → складна логістика → повна фінансова та публічна звітність.</w:t>
      </w:r>
    </w:p>
    <w:p>
      <w:pPr>
        <w:keepNext/>
        <w:spacing w:before="240" w:after="120"/>
      </w:pPr>
      <w:r>
        <w:rPr>
          <w:b/>
          <w:sz w:val="24"/>
        </w:rPr>
        <w:t>5. Запропонований координаційний механізм (Coordination Mechanism)</w:t>
      </w:r>
    </w:p>
    <w:p>
      <w:r>
        <w:t>Ми пропонуємо модель «Децентралізованої цифрової мережі координації прямої дії».</w:t>
      </w:r>
    </w:p>
    <w:p>
      <w:pPr>
        <w:pStyle w:val="ListBullet"/>
        <w:spacing w:after="80" w:line="276" w:lineRule="auto"/>
      </w:pPr>
      <w:r>
        <w:rPr>
          <w:b/>
        </w:rPr>
        <w:t xml:space="preserve">Мандат: </w:t>
      </w:r>
      <w:r>
        <w:t>Координація надавачів послуг у громадах та жорстка верифікація їхньої професійної етики й якості.</w:t>
      </w:r>
    </w:p>
    <w:p>
      <w:pPr>
        <w:pStyle w:val="ListBullet"/>
        <w:spacing w:after="80" w:line="276" w:lineRule="auto"/>
      </w:pPr>
      <w:r>
        <w:rPr>
          <w:b/>
        </w:rPr>
        <w:t xml:space="preserve">Склад екосистеми: </w:t>
      </w:r>
      <w:r>
        <w:t>ГО «Талан ЮА» (адміністратор та IT-архітектор), Черкаська ОВА та міська рада (стратегічні стейкхолдери), Мережа спеціалістів (безпосередні надавачі послуг).</w:t>
      </w:r>
    </w:p>
    <w:p>
      <w:pPr>
        <w:pStyle w:val="ListBullet"/>
        <w:spacing w:after="80" w:line="276" w:lineRule="auto"/>
      </w:pPr>
      <w:r>
        <w:rPr>
          <w:b/>
        </w:rPr>
        <w:t xml:space="preserve">Процес взаємодії: </w:t>
      </w:r>
      <w:r>
        <w:t>Ветеран подає запит через Telegram-бот або веб-портал. AI-система миттєво маршрутизує його до найближчого вільного фахівця потрібного профілю. Диспетчер ГО фіксує звернення в базі та контролює виконання запиту (автоматизований follow-up фідбек через 48 годин).</w:t>
      </w:r>
    </w:p>
    <w:p>
      <w:pPr>
        <w:keepNext/>
        <w:spacing w:before="240" w:after="120"/>
      </w:pPr>
      <w:r>
        <w:rPr>
          <w:b/>
          <w:sz w:val="24"/>
        </w:rPr>
        <w:t>6. Команда та управління проєктом (Key Personnel &amp; Management Structure)</w:t>
      </w:r>
    </w:p>
    <w:p>
      <w:r>
        <w:t>Управління проєктом здійснюватиметься збалансованою командою лідерів із підтвердженим досвідом у громадському секторі та сфері комунікацій:</w:t>
      </w:r>
    </w:p>
    <w:p>
      <w:pPr>
        <w:pStyle w:val="ListBullet"/>
        <w:spacing w:after="80" w:line="276" w:lineRule="auto"/>
      </w:pPr>
      <w:r>
        <w:rPr>
          <w:b/>
        </w:rPr>
        <w:t xml:space="preserve">Керівник комунікаційного напрямку (Communications &amp; PR Lead): Сакун Анна Валеріївна. </w:t>
      </w:r>
      <w:r>
        <w:t>Фахівчиня з багаторічним успішним досвідом у сфері публічних комунікацій та зв'язків із громадськістю. Анна разом зі своєю командою є лауреаткою престижної премії Фонду родини Богдана Гаврилишина (Bohdan Hawrylyshyn Family Foundation). Цей статус підтверджує її високий професіоналізм, лідерські якості, бездоганну репутацію та здатність будувати ефективні, довірливі стосунки з ветеранською спільнотою та медіа.</w:t>
      </w:r>
    </w:p>
    <w:p>
      <w:pPr>
        <w:pStyle w:val="ListBullet"/>
        <w:spacing w:after="80" w:line="276" w:lineRule="auto"/>
      </w:pPr>
      <w:r>
        <w:rPr>
          <w:b/>
        </w:rPr>
        <w:t xml:space="preserve">Керівник проєкту (Project Lead) та Фінансовий менеджер: </w:t>
      </w:r>
      <w:r>
        <w:t>Наразі ГО «Талан ЮА» сформувала шорт-лист висококваліфікованих кандидатів на ключові адміністративні та фінансові посади. Фінальний відбір проводиться з урахуванням жорстких кваліфікаційних вимог IREX щодо досвіду управління міжнародними грантами, комплаєнсу та звітності.</w:t>
      </w:r>
    </w:p>
    <w:p>
      <w:pPr>
        <w:pStyle w:val="ListBullet"/>
        <w:spacing w:after="80" w:line="276" w:lineRule="auto"/>
      </w:pPr>
      <w:r>
        <w:rPr>
          <w:b/>
        </w:rPr>
        <w:t xml:space="preserve">Технічний архітектор (IT &amp; AI Lead): </w:t>
      </w:r>
      <w:r>
        <w:t>Забезпечує безперебійну роботу порталу, захист бази даних SQLite, налаштування серверної інфраструктури та алгоритмів маршрутизації.</w:t>
      </w:r>
    </w:p>
    <w:p>
      <w:pPr>
        <w:keepNext/>
        <w:spacing w:before="240" w:after="120"/>
      </w:pPr>
      <w:r>
        <w:rPr>
          <w:b/>
          <w:sz w:val="24"/>
        </w:rPr>
        <w:t>7. Стратегічні партнерства (Strategic Partnerships &amp; Stakeholder Engagement)</w:t>
      </w:r>
    </w:p>
    <w:p>
      <w:r>
        <w:t>Для забезпечення максимального охоплення та ефективної маршрутизації ветеранів, ГО «Талан ЮА» вибудовує потужну міжсекторальну коаліцію на рівні Черкаської області. Наразі досягнуто стратегічних домовленостей про partnership та інформаційний обмін із ключовими стейкхолдерами:</w:t>
      </w:r>
    </w:p>
    <w:p>
      <w:pPr>
        <w:pStyle w:val="ListBullet"/>
        <w:spacing w:after="80" w:line="276" w:lineRule="auto"/>
      </w:pPr>
      <w:r>
        <w:rPr>
          <w:b/>
        </w:rPr>
        <w:t xml:space="preserve">Органи місцевого самоврядування та влади: </w:t>
      </w:r>
      <w:r>
        <w:t>Департамент соціальної політики Черкаської міської ради (забезпечення безперешкодного доступу до державних соціальних послуг та пряма взаємодія з мережею ЦНАПів).</w:t>
      </w:r>
    </w:p>
    <w:p>
      <w:pPr>
        <w:pStyle w:val="ListBullet"/>
        <w:spacing w:after="80" w:line="276" w:lineRule="auto"/>
      </w:pPr>
      <w:r>
        <w:rPr>
          <w:b/>
        </w:rPr>
        <w:t xml:space="preserve">Сектор безпеки та оборони: </w:t>
      </w:r>
      <w:r>
        <w:t>Добровольче формування Черкаської територіальної громади (ДФ Черкаської ТГ) — взаємодія з чинними бійцями, ветеранами та організація підтримки на етапі демобілізації (Pre-Exit Support).</w:t>
      </w:r>
    </w:p>
    <w:p>
      <w:pPr>
        <w:pStyle w:val="ListBullet"/>
        <w:spacing w:after="80" w:line="276" w:lineRule="auto"/>
      </w:pPr>
      <w:r>
        <w:rPr>
          <w:b/>
        </w:rPr>
        <w:t xml:space="preserve">Провідні громадські організації та ветеранські простори: </w:t>
      </w:r>
      <w:r>
        <w:t>ГО «Черкаський інститут міста», ГО «Горизонт змін», а також спеціалізований ветеранський простір «Ветеран Про». Це partnership гарантує гармонійну інтеграцію платформи «Новий Шлях» у діючу громадську екосистему Черкащини без дублювання функцій та створює потужну синергію.</w:t>
      </w:r>
    </w:p>
    <w:p>
      <w:pPr>
        <w:keepNext/>
        <w:spacing w:before="240" w:after="120"/>
      </w:pPr>
      <w:r>
        <w:rPr>
          <w:b/>
          <w:sz w:val="24"/>
        </w:rPr>
        <w:t>8. Стійкість та стратегія виходу (Sustainability)</w:t>
      </w:r>
    </w:p>
    <w:p>
      <w:pPr>
        <w:pStyle w:val="ListBullet"/>
        <w:spacing w:after="80" w:line="276" w:lineRule="auto"/>
      </w:pPr>
      <w:r>
        <w:rPr>
          <w:b/>
        </w:rPr>
        <w:t xml:space="preserve">Технічна сталість: </w:t>
      </w:r>
      <w:r>
        <w:t>Платформа розроблена на легких, оптимізованих технологіях (SQLite, Python, Telegram API, Vanilla Web), що зводить щомісячні витрати на сервери та підтримку до абсолютного мінімуму.</w:t>
      </w:r>
    </w:p>
    <w:p>
      <w:pPr>
        <w:pStyle w:val="ListBullet"/>
        <w:spacing w:after="80" w:line="276" w:lineRule="auto"/>
      </w:pPr>
      <w:r>
        <w:rPr>
          <w:b/>
        </w:rPr>
        <w:t xml:space="preserve">Інституціоналізація: </w:t>
      </w:r>
      <w:r>
        <w:t>Підписання меморандумів (MoUs) з ОТГ Черкащини про офіційне використання «Нового Шляху» як головного реєстру надавачів ветеранських послуг у громадах.</w:t>
      </w:r>
    </w:p>
    <w:p>
      <w:pPr>
        <w:pStyle w:val="ListBullet"/>
        <w:spacing w:after="80" w:line="276" w:lineRule="auto"/>
      </w:pPr>
      <w:r>
        <w:rPr>
          <w:b/>
        </w:rPr>
        <w:t xml:space="preserve">Соціальна та фінансова сталість: </w:t>
      </w:r>
      <w:r>
        <w:t>Спільнота верифікованих спеціалістів працює на умовах квоти «25% соціального внеску» (безкоштовні або пільгові послуги для ветеранів в обмін на доступ до клієнтської web-бази порталу). Це створює постійний, автономний обіг експертних ресурсів всередині екосистеми.</w:t>
      </w:r>
    </w:p>
    <w:p>
      <w:pPr>
        <w:keepNext/>
        <w:spacing w:before="240" w:after="120"/>
      </w:pPr>
      <w:r>
        <w:rPr>
          <w:b/>
          <w:sz w:val="24"/>
        </w:rPr>
        <w:t>9. Комунікації та розповсюдження (Communication Strategy)</w:t>
      </w:r>
    </w:p>
    <w:p>
      <w:pPr>
        <w:pStyle w:val="ListBullet"/>
        <w:spacing w:after="80" w:line="276" w:lineRule="auto"/>
      </w:pPr>
      <w:r>
        <w:rPr>
          <w:b/>
        </w:rPr>
        <w:t xml:space="preserve">Рішення 1 (Офлайн-навігація): </w:t>
      </w:r>
      <w:r>
        <w:t>Кампанія «Прямий доступ» — розміщення 100+ високоякісних плакатів формату А3 із прямим QR-кодом на бот у всіх ЦНАПах, лікарнях, ТЦК та державних установах Черкаської області. Розповсюдження 1000+ інформаційних пам'яток та встановлення мобільних стендів (павуків).</w:t>
      </w:r>
    </w:p>
    <w:p>
      <w:pPr>
        <w:pStyle w:val="ListBullet"/>
        <w:spacing w:after="80" w:line="276" w:lineRule="auto"/>
      </w:pPr>
      <w:r>
        <w:rPr>
          <w:b/>
        </w:rPr>
        <w:t xml:space="preserve">Рішення 2 (Digital-охоплення): </w:t>
      </w:r>
      <w:r>
        <w:t>Запуск потужної таргетованої реклами у Facebook та Instagram, спрямованої безпосередньо на ветеранів, військовослужбовців та членів їхніх родин на Черкащині.</w:t>
      </w:r>
    </w:p>
    <w:p>
      <w:pPr>
        <w:pStyle w:val="ListBullet"/>
        <w:spacing w:after="80" w:line="276" w:lineRule="auto"/>
      </w:pPr>
      <w:r>
        <w:rPr>
          <w:b/>
        </w:rPr>
        <w:t xml:space="preserve">Рішення 3 (Публічний PR): </w:t>
      </w:r>
      <w:r>
        <w:t>Організація круглих столів та прес-конференцій із залученням регіональних ЗМІ для презентації досягнень платформи та легітимізації спільноти.</w:t>
      </w:r>
    </w:p>
    <w:p>
      <w:pPr>
        <w:keepNext/>
        <w:spacing w:before="240" w:after="120"/>
      </w:pPr>
      <w:r>
        <w:rPr>
          <w:b/>
          <w:sz w:val="24"/>
        </w:rPr>
        <w:t>10. Орієнтовний бюджет ($100,000) — Розподіл за статтями</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tc>
        <w:tc>
          <w:tcPr>
            <w:tcW w:type="dxa" w:w="3324"/>
          </w:tcPr>
          <w:p/>
        </w:tc>
        <w:tc>
          <w:tcPr>
            <w:tcW w:type="dxa" w:w="3324"/>
          </w:tcPr>
          <w:p/>
        </w:tc>
      </w:tr>
      <w:tr>
        <w:tc>
          <w:tcPr>
            <w:tcW w:type="dxa" w:w="3324"/>
          </w:tcPr>
          <w:p>
            <w:pPr>
              <w:spacing w:before="60" w:after="60" w:line="276" w:lineRule="auto"/>
              <w:jc w:val="center"/>
            </w:pPr>
            <w:r>
              <w:rPr>
                <w:b/>
              </w:rPr>
              <w:t>Стаття витрат</w:t>
            </w:r>
          </w:p>
        </w:tc>
        <w:tc>
          <w:tcPr>
            <w:tcW w:type="dxa" w:w="3324"/>
          </w:tcPr>
          <w:p>
            <w:pPr>
              <w:spacing w:before="60" w:after="60" w:line="276" w:lineRule="auto"/>
              <w:jc w:val="center"/>
            </w:pPr>
            <w:r>
              <w:rPr>
                <w:b/>
              </w:rPr>
              <w:t>Бюджет (USD)</w:t>
            </w:r>
          </w:p>
        </w:tc>
        <w:tc>
          <w:tcPr>
            <w:tcW w:type="dxa" w:w="3324"/>
          </w:tcPr>
          <w:p>
            <w:pPr>
              <w:spacing w:before="60" w:after="60" w:line="276" w:lineRule="auto"/>
              <w:jc w:val="center"/>
            </w:pPr>
            <w:r>
              <w:rPr>
                <w:b/>
              </w:rPr>
              <w:t>Частка (%)</w:t>
            </w:r>
          </w:p>
        </w:tc>
      </w:tr>
      <w:tr>
        <w:tc>
          <w:tcPr>
            <w:tcW w:type="dxa" w:w="3324"/>
          </w:tcPr>
          <w:p>
            <w:pPr>
              <w:spacing w:before="60" w:after="60" w:line="276" w:lineRule="auto"/>
              <w:jc w:val="left"/>
            </w:pPr>
            <w:r>
              <w:t>Персонал (Менеджмент, Комунікаційний лід, Диспетчери хабу)</w:t>
            </w:r>
          </w:p>
        </w:tc>
        <w:tc>
          <w:tcPr>
            <w:tcW w:type="dxa" w:w="3324"/>
          </w:tcPr>
          <w:p>
            <w:pPr>
              <w:spacing w:before="60" w:after="60" w:line="276" w:lineRule="auto"/>
            </w:pPr>
            <w:r>
              <w:t>$35,000</w:t>
            </w:r>
          </w:p>
        </w:tc>
        <w:tc>
          <w:tcPr>
            <w:tcW w:type="dxa" w:w="3324"/>
          </w:tcPr>
          <w:p>
            <w:pPr>
              <w:spacing w:before="60" w:after="60" w:line="276" w:lineRule="auto"/>
              <w:jc w:val="right"/>
            </w:pPr>
            <w:r>
              <w:t>35%</w:t>
            </w:r>
          </w:p>
        </w:tc>
      </w:tr>
      <w:tr>
        <w:tc>
          <w:tcPr>
            <w:tcW w:type="dxa" w:w="3324"/>
          </w:tcPr>
          <w:p>
            <w:pPr>
              <w:spacing w:before="60" w:after="60" w:line="276" w:lineRule="auto"/>
              <w:jc w:val="left"/>
            </w:pPr>
            <w:r>
              <w:t>IT-розробка, СУБД SQLite, Захист даних та AI-модуль</w:t>
            </w:r>
          </w:p>
        </w:tc>
        <w:tc>
          <w:tcPr>
            <w:tcW w:type="dxa" w:w="3324"/>
          </w:tcPr>
          <w:p>
            <w:pPr>
              <w:spacing w:before="60" w:after="60" w:line="276" w:lineRule="auto"/>
            </w:pPr>
            <w:r>
              <w:t>$20,000</w:t>
            </w:r>
          </w:p>
        </w:tc>
        <w:tc>
          <w:tcPr>
            <w:tcW w:type="dxa" w:w="3324"/>
          </w:tcPr>
          <w:p>
            <w:pPr>
              <w:spacing w:before="60" w:after="60" w:line="276" w:lineRule="auto"/>
              <w:jc w:val="right"/>
            </w:pPr>
            <w:r>
              <w:t>20%</w:t>
            </w:r>
          </w:p>
        </w:tc>
      </w:tr>
      <w:tr>
        <w:tc>
          <w:tcPr>
            <w:tcW w:type="dxa" w:w="3324"/>
          </w:tcPr>
          <w:p>
            <w:pPr>
              <w:spacing w:before="60" w:after="60" w:line="276" w:lineRule="auto"/>
              <w:jc w:val="left"/>
            </w:pPr>
            <w:r>
              <w:t>Оренда, облаштування та утримання фізичного Intake-хабу в Черкасах</w:t>
            </w:r>
          </w:p>
        </w:tc>
        <w:tc>
          <w:tcPr>
            <w:tcW w:type="dxa" w:w="3324"/>
          </w:tcPr>
          <w:p>
            <w:pPr>
              <w:spacing w:before="60" w:after="60" w:line="276" w:lineRule="auto"/>
            </w:pPr>
            <w:r>
              <w:t>$15,000</w:t>
            </w:r>
          </w:p>
        </w:tc>
        <w:tc>
          <w:tcPr>
            <w:tcW w:type="dxa" w:w="3324"/>
          </w:tcPr>
          <w:p>
            <w:pPr>
              <w:spacing w:before="60" w:after="60" w:line="276" w:lineRule="auto"/>
              <w:jc w:val="right"/>
            </w:pPr>
            <w:r>
              <w:t>15%</w:t>
            </w:r>
          </w:p>
        </w:tc>
      </w:tr>
      <w:tr>
        <w:tc>
          <w:tcPr>
            <w:tcW w:type="dxa" w:w="3324"/>
          </w:tcPr>
          <w:p>
            <w:pPr>
              <w:spacing w:before="60" w:after="60" w:line="276" w:lineRule="auto"/>
              <w:jc w:val="left"/>
            </w:pPr>
            <w:r>
              <w:t>PR, Маркетинг, Друк плакатів А3 (100 шт.), Листівки (1000 шт.), Павуки, SMM</w:t>
            </w:r>
          </w:p>
        </w:tc>
        <w:tc>
          <w:tcPr>
            <w:tcW w:type="dxa" w:w="3324"/>
          </w:tcPr>
          <w:p>
            <w:pPr>
              <w:spacing w:before="60" w:after="60" w:line="276" w:lineRule="auto"/>
            </w:pPr>
            <w:r>
              <w:t>$15,000</w:t>
            </w:r>
          </w:p>
        </w:tc>
        <w:tc>
          <w:tcPr>
            <w:tcW w:type="dxa" w:w="3324"/>
          </w:tcPr>
          <w:p>
            <w:pPr>
              <w:spacing w:before="60" w:after="60" w:line="276" w:lineRule="auto"/>
              <w:jc w:val="right"/>
            </w:pPr>
            <w:r>
              <w:t>15%</w:t>
            </w:r>
          </w:p>
        </w:tc>
      </w:tr>
      <w:tr>
        <w:tc>
          <w:tcPr>
            <w:tcW w:type="dxa" w:w="3324"/>
          </w:tcPr>
          <w:p>
            <w:pPr>
              <w:spacing w:before="60" w:after="60" w:line="276" w:lineRule="auto"/>
              <w:jc w:val="left"/>
            </w:pPr>
            <w:r>
              <w:t>Публічні заходи (Круглі столи, Оренда залів, Прес-конференції)</w:t>
            </w:r>
          </w:p>
        </w:tc>
        <w:tc>
          <w:tcPr>
            <w:tcW w:type="dxa" w:w="3324"/>
          </w:tcPr>
          <w:p>
            <w:pPr>
              <w:spacing w:before="60" w:after="60" w:line="276" w:lineRule="auto"/>
            </w:pPr>
            <w:r>
              <w:t>$10,000</w:t>
            </w:r>
          </w:p>
        </w:tc>
        <w:tc>
          <w:tcPr>
            <w:tcW w:type="dxa" w:w="3324"/>
          </w:tcPr>
          <w:p>
            <w:pPr>
              <w:spacing w:before="60" w:after="60" w:line="276" w:lineRule="auto"/>
              <w:jc w:val="right"/>
            </w:pPr>
            <w:r>
              <w:t>10%</w:t>
            </w:r>
          </w:p>
        </w:tc>
      </w:tr>
      <w:tr>
        <w:tc>
          <w:tcPr>
            <w:tcW w:type="dxa" w:w="3324"/>
          </w:tcPr>
          <w:p>
            <w:pPr>
              <w:spacing w:before="60" w:after="60" w:line="276" w:lineRule="auto"/>
              <w:jc w:val="left"/>
            </w:pPr>
            <w:r>
              <w:t>Адміністративні витрати (Бухгалтерський супровід, Комплаєнс, Зв'язок)</w:t>
            </w:r>
          </w:p>
        </w:tc>
        <w:tc>
          <w:tcPr>
            <w:tcW w:type="dxa" w:w="3324"/>
          </w:tcPr>
          <w:p>
            <w:pPr>
              <w:spacing w:before="60" w:after="60" w:line="276" w:lineRule="auto"/>
            </w:pPr>
            <w:r>
              <w:t>$5,000</w:t>
            </w:r>
          </w:p>
        </w:tc>
        <w:tc>
          <w:tcPr>
            <w:tcW w:type="dxa" w:w="3324"/>
          </w:tcPr>
          <w:p>
            <w:pPr>
              <w:spacing w:before="60" w:after="60" w:line="276" w:lineRule="auto"/>
              <w:jc w:val="right"/>
            </w:pPr>
            <w:r>
              <w:t>5%</w:t>
            </w:r>
          </w:p>
        </w:tc>
      </w:tr>
      <w:tr>
        <w:tc>
          <w:tcPr>
            <w:tcW w:type="dxa" w:w="3324"/>
          </w:tcPr>
          <w:p>
            <w:pPr>
              <w:spacing w:before="60" w:after="60" w:line="276" w:lineRule="auto"/>
              <w:jc w:val="left"/>
            </w:pPr>
            <w:r>
              <w:t>РАЗОМ:</w:t>
            </w:r>
          </w:p>
        </w:tc>
        <w:tc>
          <w:tcPr>
            <w:tcW w:type="dxa" w:w="3324"/>
          </w:tcPr>
          <w:p>
            <w:pPr>
              <w:spacing w:before="60" w:after="60" w:line="276" w:lineRule="auto"/>
            </w:pPr>
            <w:r>
              <w:t>$100,000</w:t>
            </w:r>
          </w:p>
        </w:tc>
        <w:tc>
          <w:tcPr>
            <w:tcW w:type="dxa" w:w="3324"/>
          </w:tcPr>
          <w:p>
            <w:pPr>
              <w:spacing w:before="60" w:after="60" w:line="276" w:lineRule="auto"/>
              <w:jc w:val="right"/>
            </w:pPr>
            <w:r>
              <w:t>100%</w:t>
            </w:r>
          </w:p>
        </w:tc>
      </w:tr>
    </w:tbl>
    <w:p>
      <w:pPr>
        <w:keepNext/>
      </w:pPr>
      <w:r>
        <w:t>Заявка складена та підтверджена командою ГО «Талан ЮА».</w:t>
      </w:r>
    </w:p>
    <w:p>
      <w:pPr>
        <w:keepNext/>
        <w:spacing w:before="480" w:after="240"/>
        <w:jc w:val="center"/>
      </w:pPr>
      <w:r>
        <w:rPr>
          <w:b w:val="0"/>
        </w:rPr>
        <w:t>Підписи сторін:</w:t>
      </w:r>
    </w:p>
    <w:tbl>
      <w:tblPr>
        <w:tblW w:type="auto" w:w="0"/>
        <w:jc w:val="center"/>
        <w:tblLayout w:type="fixed"/>
        <w:tblLook w:firstColumn="1" w:firstRow="1" w:lastColumn="0" w:lastRow="0" w:noHBand="0" w:noVBand="1" w:val="04A0"/>
      </w:tblPr>
      <w:tblGrid>
        <w:gridCol w:w="5102"/>
        <w:gridCol w:w="4535"/>
      </w:tblGrid>
      <w:tr>
        <w:tc>
          <w:tcPr>
            <w:tcW w:type="dxa" w:w="4986"/>
          </w:tcPr>
          <w:p>
            <w:pPr>
              <w:jc w:val="left"/>
            </w:pPr>
            <w:r>
              <w:rPr>
                <w:b/>
              </w:rPr>
              <w:t>Сторона 1</w:t>
              <w:br/>
              <w:t>Голова правління</w:t>
              <w:br/>
              <w:t>ГО «ТАЛАН ЮА»</w:t>
            </w:r>
          </w:p>
        </w:tc>
        <w:tc>
          <w:tcPr>
            <w:tcW w:type="dxa" w:w="4986"/>
          </w:tcPr>
          <w:p>
            <w:pPr>
              <w:jc w:val="right"/>
            </w:pPr>
            <w:r>
              <w:rPr>
                <w:b/>
              </w:rPr>
              <w:t>Сторона 2</w:t>
              <w:br/>
              <w:t>Конкурсна комісія</w:t>
              <w:br/>
              <w:t>IREX UVRR</w:t>
            </w:r>
          </w:p>
        </w:tc>
      </w:tr>
      <w:tr>
        <w:tc>
          <w:tcPr>
            <w:tcW w:type="dxa" w:w="4986"/>
          </w:tcPr>
          <w:p>
            <w:pPr>
              <w:jc w:val="left"/>
            </w:pPr>
            <w:r>
              <w:br/>
              <w:t>_________________ / Тимур ШАПОВАЛ /</w:t>
              <w:br/>
              <w:t>М.П.</w:t>
            </w:r>
          </w:p>
        </w:tc>
        <w:tc>
          <w:tcPr>
            <w:tcW w:type="dxa" w:w="4986"/>
          </w:tcPr>
          <w:p>
            <w:pPr>
              <w:jc w:val="right"/>
            </w:pPr>
            <w:r>
              <w:br/>
              <w:t>_________________ / ПРЕДСТАВНИК IREX /</w:t>
              <w:br/>
              <w:t>М.П.</w:t>
            </w:r>
          </w:p>
        </w:tc>
      </w:tr>
    </w:tbl>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