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Міжнародній раді наукових досліджень та обмінів (IREX)</w:t>
        <w:br/>
        <w:t>Конкурсна комісія програми підтримки ветеранів</w:t>
        <w:br/>
        <w:br/>
      </w:r>
    </w:p>
    <w:p>
      <w:pPr>
        <w:jc w:val="right"/>
      </w:pPr>
      <w:r>
        <w:rPr>
          <w:i/>
        </w:rPr>
        <w:t>від: Громадська організація «Горизонт змін»</w:t>
        <w:br/>
        <w:t>Адреса: м. Черкаси</w:t>
        <w:br/>
      </w:r>
    </w:p>
    <w:p>
      <w:pPr>
        <w:spacing w:after="480"/>
      </w:pPr>
    </w:p>
    <w:p>
      <w:pPr>
        <w:spacing w:after="360"/>
        <w:jc w:val="center"/>
      </w:pPr>
      <w:r>
        <w:rPr>
          <w:b/>
          <w:color w:val="003366"/>
          <w:sz w:val="30"/>
        </w:rPr>
        <w:t>ЛИСТ ПІДТРИМКИ ПРОЄКТУ «НОВИЙ ШЛЯХ»</w:t>
      </w:r>
    </w:p>
    <w:p>
      <w:r>
        <w:t>Громадська організація «Горизонт змін» засвідчує свою повагу Міжнародній раді наукових досліджень та обмінів (IREX) та цим листом висловлює цілковиту підтримку проєктній заявці Громадської організації «ТАЛАН ЮА» (ЄДРПОУ: 45119390) під назвою «Новий Шлях: Цифрова диспетчерська та регіональний координаційний хаб підтримки ветеранів Черкащини».</w:t>
      </w:r>
    </w:p>
    <w:p>
      <w:r>
        <w:t>ГО «Горизонт змін» активно підтримує ініціативи, спрямовані на посилення спроможності громад та розвиток людського капіталу. Проєкт «Новий Шлях» є яскравим прикладом інноваційного підходу до вирішення складних соціальних викликів. Об'єднання понад 150 фахівців області в єдину верифіковану мережу створить потужний прецедент міжсекторальної взаємодії, і ми готові долучатися до навчальних та адвокаційних заходів проєкту.</w:t>
      </w:r>
    </w:p>
    <w:p>
      <w:r>
        <w:t>Ми переконані, що створення гібридної «Цифрової диспетчерської» є нагальною та критично важливою ініціативою для Черкаської області. Платформа «Новий Шлях» дозволить об'єднати зусилля державного, громадського та приватного секторів, усунути бюрократичні бар'єри та забезпечити ветеранам швидкий і прозорий доступ до верифікованих фахівців.</w:t>
      </w:r>
    </w:p>
    <w:p>
      <w:r>
        <w:t>Зі свого боку, Громадська організація «Горизонт змін» підтверджує готовність до активної співпраці з ГО «Талан ЮА», участі в роботі регіональної координаційної ради, спільного проведення інформаційних заходів та підписання відповідного Меморандуму про співпрацю (MoU) після початку реалізації проєкту.</w:t>
      </w:r>
    </w:p>
    <w:p>
      <w:r>
        <w:t>Просимо конкурсну комісію IREX підтримати цю ініціативу, яка має стратегічне значення для успішної реінтеграції ветеранів та членів їхніх родин у нашій громаді.</w:t>
      </w:r>
    </w:p>
    <w:p>
      <w:pPr>
        <w:keepNext/>
        <w:spacing w:before="720"/>
      </w:pPr>
      <w:r>
        <w:t>З повагою та надією на плідну співпрацю,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3600"/>
      </w:tblGrid>
      <w:tr>
        <w:tc>
          <w:tcPr>
            <w:tcW w:type="dxa" w:w="4500"/>
          </w:tcPr>
          <w:p>
            <w:r>
              <w:rPr>
                <w:b/>
              </w:rPr>
              <w:t>Голова організації</w:t>
              <w:br/>
              <w:t>Громадська організація «Горизонт змін»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t>____________________</w:t>
              <w:br/>
              <w:t>(підпис, М.П.)</w:t>
            </w:r>
          </w:p>
        </w:tc>
      </w:tr>
      <w:tr>
        <w:tc>
          <w:tcPr>
            <w:tcW w:type="dxa" w:w="4500"/>
          </w:tcPr>
          <w:p>
            <w:r/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/>
              </w:rPr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