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3366"/>
          <w:sz w:val="32"/>
        </w:rPr>
        <w:t>ДЕТАЛЬНИЙ КОШТОРИС ПРОЄКТУ «НОВИЙ ШЛЯХ»</w:t>
      </w:r>
    </w:p>
    <w:p>
      <w:pPr>
        <w:spacing w:after="360"/>
        <w:jc w:val="center"/>
      </w:pPr>
      <w:r>
        <w:rPr>
          <w:i/>
          <w:color w:val="555555"/>
          <w:sz w:val="24"/>
        </w:rPr>
        <w:t>Загальний бюджет: $100,000 USD (Конкурс IREX UVRR)</w:t>
      </w:r>
    </w:p>
    <w:p>
      <w:pPr>
        <w:spacing w:after="320"/>
      </w:pPr>
      <w:r>
        <w:t>Цей документ містить розширену розшифровку статей витрат для внутрішнього аналізу командою ГО «Талан ЮА» перед перенесенням в офіційну Excel-форму IREX.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</w:tr>
      <w:tr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  <w:shd w:fill="004B87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Категорія витрат / Стаття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  <w:shd w:fill="004B87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Опис та призначення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  <w:shd w:fill="004B87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Сума (USD)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  <w:shd w:fill="004B87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%</w:t>
            </w:r>
          </w:p>
        </w:tc>
      </w:tr>
      <w:tr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left"/>
            </w:pPr>
            <w:r>
              <w:t>1. ПЕРСОНАЛ ПРОЄКТУ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Оплата праці ключової команди протягом 12 місяців: Керівник проєкту ($1,500/міс), Комунікаційний лід Анна Сакун ($1,000/міс), 2 Диспетчери-координатори Intake-хабу ($1,000/міс сумарно).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$35,000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right"/>
            </w:pPr>
            <w:r>
              <w:t>35%</w:t>
            </w:r>
          </w:p>
        </w:tc>
      </w:tr>
      <w:tr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left"/>
            </w:pPr>
            <w:r>
              <w:t>2. IT-РОЗРОБКА ТА AI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Модернізація Telegram Mini App та веб-порталу, перехід на захищену СУБД SQLite, розробка AI-модуля маршрутизації, налаштування серверів та системи автоматичного логування Intake/Feedback.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$20,000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right"/>
            </w:pPr>
            <w:r>
              <w:t>20%</w:t>
            </w:r>
          </w:p>
        </w:tc>
      </w:tr>
      <w:tr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left"/>
            </w:pPr>
            <w:r>
              <w:t>3. ОФЛАЙН INTAKE-ХАБ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Оренда приміщення в центрі м. Черкаси (12 міс), косметичний ремонт під вимоги інклюзивності, закупівля меблів, комп'ютерної техніки, зарядної станції (EcoFlow) та поточне утримання.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$15,000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right"/>
            </w:pPr>
            <w:r>
              <w:t>15%</w:t>
            </w:r>
          </w:p>
        </w:tc>
      </w:tr>
      <w:tr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left"/>
            </w:pPr>
            <w:r>
              <w:t>4. PR ТА ПОЛІГРАФІЯ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Друк 100+ плакатів А3 із QR-кодами для ЦНАПів та ТЦК, 1000+ буклетів/пам'яток, виготовлення 5 мобільних стендів (павуків), таргетована SMM-реклама FB/Insta на ветеранів області.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$15,000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right"/>
            </w:pPr>
            <w:r>
              <w:t>15%</w:t>
            </w:r>
          </w:p>
        </w:tc>
      </w:tr>
      <w:tr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left"/>
            </w:pPr>
            <w:r>
              <w:t>5. ПУБЛІЧНІ ЗАХОДИ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Організація 5 стратегічних круглих столів, панельних дискусій та прес-конференцій (оренда залів, кава-брейки, роздаткові матеріали, трансфер учасників із громад області).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$10,000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right"/>
            </w:pPr>
            <w:r>
              <w:t>10%</w:t>
            </w:r>
          </w:p>
        </w:tc>
      </w:tr>
      <w:tr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left"/>
            </w:pPr>
            <w:r>
              <w:t>6. АДМІНІСТРАТИВНІ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Бухгалтерський супровід проєкту (комплаєнс за стандартами IREX/USAID), банківські комісії, поштові витрати, канцелярія, інтернет та корпоративний мобільний зв'язок.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$5,000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right"/>
            </w:pPr>
            <w:r>
              <w:t>5%</w:t>
            </w:r>
          </w:p>
        </w:tc>
      </w:tr>
      <w:tr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/>
              </w:rPr>
              <w:t>РАЗОМ ЗАЯВКА: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Повний обсяг фінансування від IREX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$100,000</w:t>
            </w:r>
          </w:p>
        </w:tc>
        <w:tc>
          <w:tcPr>
            <w:tcW w:type="dxa" w:w="22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  <w:jc w:val="right"/>
            </w:pPr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