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c0365f1cb45bba8091571c7c45637f013cafc78"/>
    <w:p>
      <w:pPr>
        <w:pStyle w:val="Heading1"/>
      </w:pPr>
      <w:r>
        <w:t xml:space="preserve">Collateral Damage as Narrative Convention: False Accusation and Its Costs Across 27 Seasons of Law &amp; Order: Special Victims Unit</w:t>
      </w:r>
    </w:p>
    <w:p>
      <w:pPr>
        <w:pStyle w:val="FirstParagraph"/>
      </w:pPr>
      <w:r>
        <w:rPr>
          <w:b/>
          <w:bCs/>
        </w:rPr>
        <w:t xml:space="preserve">Tyler Satchel Orden</w:t>
      </w:r>
      <w:r>
        <w:t xml:space="preserve"> </w:t>
      </w:r>
      <w:r>
        <w:t xml:space="preserve">Independent researcher</w:t>
      </w:r>
      <w:r>
        <w:t xml:space="preserve"> </w:t>
      </w:r>
      <w:r>
        <w:t xml:space="preserve">Contact: tylerorden@gmail.com</w:t>
      </w:r>
    </w:p>
    <w:p>
      <w:pPr>
        <w:pStyle w:val="BodyText"/>
      </w:pPr>
      <w:r>
        <w:rPr>
          <w:i/>
          <w:iCs/>
        </w:rPr>
        <w:t xml:space="preserve">Manuscript prepared July 2026</w:t>
      </w:r>
    </w:p>
    <w:p>
      <w:r>
        <w:pict>
          <v:rect style="width:0;height:1.5pt" o:hralign="center" o:hrstd="t" o:hr="t"/>
        </w:pict>
      </w:r>
    </w:p>
    <w:bookmarkStart w:id="9" w:name="abstract"/>
    <w:p>
      <w:pPr>
        <w:pStyle w:val="Heading2"/>
      </w:pPr>
      <w:r>
        <w:t xml:space="preserve">Abstract</w:t>
      </w:r>
    </w:p>
    <w:p>
      <w:pPr>
        <w:pStyle w:val="FirstParagraph"/>
      </w:pPr>
      <w:r>
        <w:t xml:space="preserve">Law &amp; Order: Special Victims Unit is one of the most durable fictions about policing ever broadcast in the United States. This article reports a census-style content analysis of the show’s 27 seasons, asking how often the series depicts innocent people harmed by false or mistaken accusations, what those harms look like, and how the fictional detectives answer for them. A large language model applied a fixed codebook to every episode transcript, functioning as a measurement instrument; a ground-truth audit then found that nine source cells held another episode’s script, a silent corruption the coding had inherited, and all analyses use the corrected set of 567 episodes and 521 person-episode records. At least one falsely accused person appears in 59.4% of episodes (62.1% counting ambiguous cases), 62.4% of persons reach severity 3 or 4 on a four-point scale, and a row-level audit, adjudicated case by case, finds 32 accusation-linked deaths: 21 murders, 9 suicides, and 2 others. The detectives’ own inference is the leading accusation origin (54.5%), detectives threaten, coerce, or degrade the innocent in 53.0% of cases, and where an accusation spreads beyond the precinct the squad itself is the discloser 83.9% of the time. Yet an apology of any kind follows in only 7.5% of cases, and a formal apology in 1.5%. Apology tracks catastrophe rather than conduct: 0.0% at severity 1 against 16.4% at severity 4, while threatened and unthreatened persons are apologized to at nearly identical rates. The show also pairs media exposure with catastrophe: 45.3% of media-exposed persons reach severity 4, against 8.5% when word never leaves the precinct. I argue that the series renders collateral harm to the innocent as a narrative convention, visible but unaccounted for.</w:t>
      </w:r>
    </w:p>
    <w:p>
      <w:pPr>
        <w:pStyle w:val="BodyText"/>
      </w:pPr>
      <w:r>
        <w:rPr>
          <w:b/>
          <w:bCs/>
        </w:rPr>
        <w:t xml:space="preserve">Keywords:</w:t>
      </w:r>
      <w:r>
        <w:t xml:space="preserve"> </w:t>
      </w:r>
      <w:r>
        <w:t xml:space="preserve">false accusations; police procedural; copaganda; cultivation theory; content analysis; Law &amp; Order: Special Victims Unit; large language models; wrongful conviction</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In the eighth episode of its second season, Law &amp; Order: Special Victims Unit arrests a man named Russell Ramsay for a rape he did not commit. The accusation reaches him through the sex-offender registry. He is perp-walked, charged, and remanded to Rikers Island, where he begs the detectives for help:</w:t>
      </w:r>
      <w:r>
        <w:t xml:space="preserve"> </w:t>
      </w:r>
      <w:r>
        <w:t xml:space="preserve">“I gotta stay awake at night so I don’t get ambushed… I can’t look at a guy without getting jumped.”</w:t>
      </w:r>
      <w:r>
        <w:t xml:space="preserve"> </w:t>
      </w:r>
      <w:r>
        <w:t xml:space="preserve">A few scenes later the outcome arrives in three flat sentences:</w:t>
      </w:r>
      <w:r>
        <w:t xml:space="preserve"> </w:t>
      </w:r>
      <w:r>
        <w:t xml:space="preserve">“Russell Ramsay was attacked at Rikers. He was beaten and raped. He was killed.”</w:t>
      </w:r>
      <w:r>
        <w:t xml:space="preserve"> </w:t>
      </w:r>
      <w:r>
        <w:t xml:space="preserve">The episode then identifies the real rapist and ends.</w:t>
      </w:r>
    </w:p>
    <w:p>
      <w:pPr>
        <w:pStyle w:val="BodyText"/>
      </w:pPr>
      <w:r>
        <w:t xml:space="preserve">Ramsay is fictional, and so is the harm the script assigns him. What interests me is that the series has done some version of this to 520 other people.</w:t>
      </w:r>
    </w:p>
    <w:p>
      <w:pPr>
        <w:pStyle w:val="BodyText"/>
      </w:pPr>
      <w:r>
        <w:t xml:space="preserve">SVU premiered in September 1999 and was still airing new episodes when I collected data in January 2026: 27 seasons, 576 episodes, plus a second life in syndication and streaming that puts its reruns in front of viewers more or less continuously. Scholarship on the show has concentrated on its treatment of victims and its gender politics, and a larger literature treats the police procedural as a machine for producing favorable beliefs about policing; Section 2 reviews both. Almost none of that work looks squarely at the people the fictional investigation chews through on its way to the real perpetrator: the suspects who are accused, exposed, and then cleared.</w:t>
      </w:r>
    </w:p>
    <w:p>
      <w:pPr>
        <w:pStyle w:val="BodyText"/>
      </w:pPr>
      <w:r>
        <w:t xml:space="preserve">That omission is worth repairing, because the cleared suspect is where a procedural quietly states its theory of acceptable loss. A show can be sympathetic to victims, hostile to offenders, and still teach its audience something specific about the innocent people in between: how often they get caught in the machinery, how badly they are hurt, who pointed the finger first, and whether anyone ever says sorry. Those are empirical questions about the text itself, and they can be answered by counting.</w:t>
      </w:r>
    </w:p>
    <w:p>
      <w:pPr>
        <w:pStyle w:val="BodyText"/>
      </w:pPr>
      <w:r>
        <w:t xml:space="preserve">This study counts.</w:t>
      </w:r>
    </w:p>
    <w:p>
      <w:pPr>
        <w:pStyle w:val="BodyText"/>
      </w:pPr>
      <w:r>
        <w:t xml:space="preserve">I coded every SVU episode broadcast through January 2026 for persons who are accused of a crime, later shown or strongly implied to be innocent, and harmed by the accusation through public exposure or physical consequence. The coding was performed by a large language model applying a fixed written codebook, a design I describe in Section 3 and treat throughout as an instrument to be audited rather than a collaborator to be trusted. Auditing mattered more than I planned: it caught corruption in the source transcripts themselves, and every figure here comes from the corrected set, 521 person-episode records across 567 verified episodes. One result belongs up front: the row-level death audit finds 32 accusation-linked deaths, among them 21 murders and 9 suicides.</w:t>
      </w:r>
    </w:p>
    <w:p>
      <w:pPr>
        <w:pStyle w:val="BodyText"/>
      </w:pPr>
      <w:r>
        <w:t xml:space="preserve">The pattern the full results describe, I will argue, is a narrative convention: collateral damage to the innocent as a routine, visible, and unaccounted-for cost of the fictional investigation.</w:t>
      </w:r>
    </w:p>
    <w:p>
      <w:pPr>
        <w:pStyle w:val="BodyText"/>
      </w:pPr>
      <w:r>
        <w:t xml:space="preserve">SVU repays this much counting because of its unusual position in American media. Few scripted programs have run long enough to constitute the stable, decades-long message system that cultivation theory was built to study. Fewer still occupy a topic where public beliefs bear so directly on institutional behavior: how sex-crime allegations should be investigated, how much collateral suspicion is tolerable, and what the police owe the people they wrongly pursue. A viewer who has watched even a fraction of the catalogue encounters hundreds of worked examples of those questions, each resolved the same way. This article documents what the worked examples contain.</w:t>
      </w:r>
    </w:p>
    <w:bookmarkEnd w:id="10"/>
    <w:bookmarkStart w:id="14" w:name="the-procedural-and-its-casualties"/>
    <w:p>
      <w:pPr>
        <w:pStyle w:val="Heading2"/>
      </w:pPr>
      <w:r>
        <w:t xml:space="preserve">2. The Procedural and Its Casualties</w:t>
      </w:r>
    </w:p>
    <w:bookmarkStart w:id="11" w:name="X90eec6af69defc56048883a2d9463edcc5b43f7"/>
    <w:p>
      <w:pPr>
        <w:pStyle w:val="Heading3"/>
      </w:pPr>
      <w:r>
        <w:t xml:space="preserve">2.1 Cultivation, crime drama, and what viewers take away</w:t>
      </w:r>
    </w:p>
    <w:p>
      <w:pPr>
        <w:pStyle w:val="FirstParagraph"/>
      </w:pPr>
      <w:r>
        <w:t xml:space="preserve">Cultivation research holds that heavy television viewing pulls beliefs about the world toward the world television depicts (Gerbner et al., 2002). Crime programming is the classic site for the effect, because the genre’s distortions are large and consistent: violent crime is overrepresented, clearance is near-certain, and investigation is fast. The survey record is messier than the theory. Dowler (2003) found crime-drama viewing weakly linked to fear of crime and, in his own conclusion, unrelated to perceived police effectiveness. Kort-Butler and Sittner Hartshorn (2011) found that crime dramas predicted support for the death penalty through a path that did not run through fear, while nonfiction crime programming eroded confidence in the justice system by stoking fear. Surette (2015) frames the underlying mechanism as a substitution: for most viewers, mediated experience of criminal justice is nearly all the experience they have.</w:t>
      </w:r>
    </w:p>
    <w:p>
      <w:pPr>
        <w:pStyle w:val="BodyText"/>
      </w:pPr>
      <w:r>
        <w:t xml:space="preserve">The CSI-effect literature concedes on all sides that procedural television plausibly shapes expectations about how investigation and evidence work (Cole &amp; Dioso-Villa, 2009; Podlas, 2006). If jurors can absorb a forensic fantasy from CSI, viewers can absorb an interrogation-room ethics from SVU, and content analysis is the tool for reading what that ethics contains (Eschholz et al., 2004).</w:t>
      </w:r>
    </w:p>
    <w:p>
      <w:pPr>
        <w:pStyle w:val="BodyText"/>
      </w:pPr>
      <w:r>
        <w:t xml:space="preserve">The content-analytic tradition in this area has usually worked from samples: a season here, a composite week of programming there, coded by hand because hand-coding is expensive. Eschholz et al. (2004) built their analysis of NYPD Blue and Law &amp; Order from single-season samples. A sample is a compromise, though, and for questions about a show’s conventions the compromise bites, because conventions are what varies least within a season and most across eras. The present study codes the population: every episode the program has aired. Whatever else may be said about the instrument that made this affordable, the census design removes an entire class of inferential worry.</w:t>
      </w:r>
    </w:p>
    <w:bookmarkEnd w:id="11"/>
    <w:bookmarkStart w:id="12" w:name="copaganda-and-the-svu-literature"/>
    <w:p>
      <w:pPr>
        <w:pStyle w:val="Heading3"/>
      </w:pPr>
      <w:r>
        <w:t xml:space="preserve">2.2 Copaganda and the SVU literature</w:t>
      </w:r>
    </w:p>
    <w:p>
      <w:pPr>
        <w:pStyle w:val="FirstParagraph"/>
      </w:pPr>
      <w:r>
        <w:t xml:space="preserve">A second body of work reads the procedural as advocacy. Kappeler and Potter (2018) catalogue the mythologies that crime media sustain. Karakatsanis (2025) popularized the term copaganda for the phenomenon; his target is news coverage, though the entertainment genre raises the same questions. Rapping (2003) reads the Law &amp; Order franchise specifically as a long argument for prosecution as the solution to social disorder.</w:t>
      </w:r>
    </w:p>
    <w:p>
      <w:pPr>
        <w:pStyle w:val="BodyText"/>
      </w:pPr>
      <w:r>
        <w:t xml:space="preserve">SVU and its genre have drawn their own scholarship, most of it centered on victims. Cuklanz (2000) traces how prime-time rape narratives evolved from the 1970s onward, with the detective’s sensitivity becoming the genre’s proof of enlightenment; Projansky (2001) maps how pervasively rape structures postfeminist film and television. On SVU itself, Britto et al. (2007) find the show’s victim pool skews young, white, and female relative to crime statistics, and Cuklanz and Moorti (2006) credit the series with a prime-time feminism that takes sexual violence seriously while noting the limits of its politics. Bernabo (2022) examines how broadcast procedurals answered the post-2020 reckoning over policing, finding varied narrative strategies rather than a single reform posture. What the SVU literature has needed is a systematic account of the show’s other recurring character: the innocent suspect. Critics of the genre have long observed that procedurals churn through wrong men on the way to the right one. Nobody, to my knowledge, has counted them, graded their injuries, and checked who apologized.</w:t>
      </w:r>
    </w:p>
    <w:p>
      <w:pPr>
        <w:pStyle w:val="BodyText"/>
      </w:pPr>
      <w:r>
        <w:t xml:space="preserve">That last item matters more than it may appear, because acknowledgment of error is central to institutional legitimacy (Tyler, 2006); a drama that shows harm without acknowledgment is modeling an accountability norm, hundreds of times.</w:t>
      </w:r>
    </w:p>
    <w:p>
      <w:pPr>
        <w:pStyle w:val="BodyText"/>
      </w:pPr>
      <w:r>
        <w:t xml:space="preserve">One conceptual point the copaganda framing sometimes flattens: pro-police messaging need not hide harm; it can display harm and detach it from responsibility. A series that showed no wrongful arrests would be implausible to its own audience. A series that shows wrongful arrests constantly, attaches them to sympathetic protagonists, resolves them within the hour, and moves on without consequence is doing something subtler than concealment. Whether SVU fits that description is an empirical question about its scripts.</w:t>
      </w:r>
    </w:p>
    <w:bookmarkEnd w:id="12"/>
    <w:bookmarkStart w:id="13" w:name="wrongful-accusation-off-screen"/>
    <w:p>
      <w:pPr>
        <w:pStyle w:val="Heading3"/>
      </w:pPr>
      <w:r>
        <w:t xml:space="preserve">2.3 Wrongful accusation off screen</w:t>
      </w:r>
    </w:p>
    <w:p>
      <w:pPr>
        <w:pStyle w:val="FirstParagraph"/>
      </w:pPr>
      <w:r>
        <w:t xml:space="preserve">Off screen, wrongful accusation is neither rare nor cheap, but it is rarer than SVU implies and far more expensive. Garrett (2011) documents how ordinary investigative practice produced the first 250 DNA exonerations. Gross et al. (2005) catalogue exonerations from 1989 to 2003, a count the National Registry of Exonerations (2026) continues. Loeffler et al. (2019) estimate a wrongful conviction rate near 6% from prisoner self-reports. The aftermath is long: lasting psychiatric injury (Grounds, 2004), years spent rebuilding identity and community (Westervelt &amp; Cook, 2012). And the research consensus places knowingly false reports of sexual assault at 2% to 10% of reports (Lisak et al., 2010), with the stigma of a sex-crime allegation attaching regardless of outcome. Sex crimes are SVU’s entire jurisdiction.</w:t>
      </w:r>
    </w:p>
    <w:bookmarkEnd w:id="13"/>
    <w:bookmarkEnd w:id="14"/>
    <w:bookmarkStart w:id="21" w:name="method"/>
    <w:p>
      <w:pPr>
        <w:pStyle w:val="Heading2"/>
      </w:pPr>
      <w:r>
        <w:t xml:space="preserve">3. Method</w:t>
      </w:r>
    </w:p>
    <w:bookmarkStart w:id="15" w:name="sample-and-the-state-of-the-source"/>
    <w:p>
      <w:pPr>
        <w:pStyle w:val="Heading3"/>
      </w:pPr>
      <w:r>
        <w:t xml:space="preserve">3.1 Sample and the state of the source</w:t>
      </w:r>
    </w:p>
    <w:p>
      <w:pPr>
        <w:pStyle w:val="FirstParagraph"/>
      </w:pPr>
      <w:r>
        <w:t xml:space="preserve">The sample is a census: all 576 episodes of SVU, seasons 1 through 27, with season 27 partial at three episodes because it was airing at collection time. Full episode transcripts were collected from subslikescript.com and assembled into a single spreadsheet, one row per episode.</w:t>
      </w:r>
    </w:p>
    <w:p>
      <w:pPr>
        <w:pStyle w:val="BodyText"/>
      </w:pPr>
      <w:r>
        <w:t xml:space="preserve">That spreadsheet turned out to be corrupted in ways the coding inherited, and the discovery is worth telling in order. The pipeline’s working assumption was simple: row i holds episode i’s transcript. Nothing in the coding output contradicted it. The failure surfaced only when I audited the coded content against ground truth, comparing every transcript’s full text against every other’s. Nine episodes’ cells contain a duplicate of another episode’s script: S01E13 holds S01E15’s, and S02E11, S02E18, S04E10, S05E04, S05E14, S08E11, S09E19, and S11E09 likewise hold other episodes’ transcripts (the full mapping is in the supplementary material). The instrument coded the nine faithfully; none drew its needs-deep-review flag, because each was a perfectly coherent transcript of the wrong episode. The nine are excluded from every episode-level denominator in this article, which is why the primary base is 567 rather than 576, and the 15 person-records they generated are removed from the person-level set. The assumption failed silently; only ground-truth verification caught it.</w:t>
      </w:r>
    </w:p>
    <w:p>
      <w:pPr>
        <w:pStyle w:val="BodyText"/>
      </w:pPr>
      <w:r>
        <w:t xml:space="preserve">The same audit quantified a second defect: 145 of the 576 transcripts (25.2%) end at 32,767 characters to the character, the Excel cell cap, their final scenes cut off. The truncation is lopsided, 138 of the 145 in seasons 1-18 (33.7% of that era) against 2 and 5 in the later eras, and because it censors endings, where resolutions, apologies, and final-scene harms live, it can only undercount early-era harm and acknowledgment.</w:t>
      </w:r>
    </w:p>
    <w:p>
      <w:pPr>
        <w:pStyle w:val="BodyText"/>
      </w:pPr>
      <w:r>
        <w:t xml:space="preserve">Five further episodes had defective text of more ordinary kinds: four (S14E01, S14E02, S15E01, S17E01) had empty transcripts, and one (S06E09) contained non-English character encoding. In total, then, 14 of 576 source episodes were defective. Sections 3.4 and 6 describe how each kind was handled.</w:t>
      </w:r>
    </w:p>
    <w:bookmarkEnd w:id="15"/>
    <w:bookmarkStart w:id="16" w:name="the-coding-instrument"/>
    <w:p>
      <w:pPr>
        <w:pStyle w:val="Heading3"/>
      </w:pPr>
      <w:r>
        <w:t xml:space="preserve">3.2 The coding instrument</w:t>
      </w:r>
    </w:p>
    <w:p>
      <w:pPr>
        <w:pStyle w:val="FirstParagraph"/>
      </w:pPr>
      <w:r>
        <w:t xml:space="preserve">Every transcript was coded by a large language model, claude-sonnet-4-5-20250929 (Anthropic), accessed through the Messages Batch API. Each of the 576 requests contained the same fixed system prompt, which is the complete codebook, and one episode transcript. The model returned structured JSON: episode-level flags plus one record per qualifying person. All 576 requests returned output without error, at a cost between $15 and $17 in API fees and roughly 14 hours of waiting.</w:t>
      </w:r>
    </w:p>
    <w:p>
      <w:pPr>
        <w:pStyle w:val="BodyText"/>
      </w:pPr>
      <w:r>
        <w:t xml:space="preserve">I treated the model as an instrument rather than an assistant. It never saw my hypotheses and never participated in a conversation; it exercised no discretion beyond what the codebook grants any coder: one transcript in, one fixed rubric applied, one structured record out, 576 times. It sits closer to an optical scanner than to a research collaborator. Like any instrument it has error, and that error is described here but not yet quantified: a stratified human validation study, prioritizing the death rows in Section 4.8, is in progress. The design sits inside an emerging methods literature on language models as annotators, which insists on downstream validation (Gilardi et al., 2023; Törnberg, 2023; Ziems et al., 2024), measured against classical content-analytic reliability standards (Krippendorff, 2019; Neuendorf, 2017).</w:t>
      </w:r>
    </w:p>
    <w:p>
      <w:pPr>
        <w:pStyle w:val="BodyText"/>
      </w:pPr>
      <w:r>
        <w:t xml:space="preserve">The batch design was chosen for discipline as much as cost. Because all 576 requests were submitted as a single job against a frozen prompt, no coding decision could contaminate a later one. Batch independence rules out sequential drift, the instrument learning my preferences or being nudged mid-run; it does not rule out run-to-run variance, which is one of the validation study’s jobs. The output pipeline was mundane, and I record it for replication. The model returned each episode’s coding as JSON; despite instructions it wrapped most responses in markdown fences, stripped in post-processing. Records were then aggregated into two flat files, one row per episode and one row per qualifying person, and those two files are the sole source of every statistic in this article. The full codebook accompanies the submission as supplementary material, and the batch input can be regenerated from the transcript file, so the measurement is repeatable by anyone for the price of a modest dinner.</w:t>
      </w:r>
    </w:p>
    <w:p>
      <w:pPr>
        <w:pStyle w:val="BodyText"/>
      </w:pPr>
      <w:r>
        <w:t xml:space="preserve">Affordability is the methodological point: hand-coding 576 hour-long episodes on a twenty-field codebook is a multi-year project or a funded team, and this coding cost less than $20. The trade is that reliability, which a team of human coders establishes as it works, must here be established afterward, by audit. Section 3.5 describes the audits already performed; the Limitations section describes the one still owed.</w:t>
      </w:r>
    </w:p>
    <w:bookmarkEnd w:id="16"/>
    <w:bookmarkStart w:id="17" w:name="codebook-and-inclusion-criteria"/>
    <w:p>
      <w:pPr>
        <w:pStyle w:val="Heading3"/>
      </w:pPr>
      <w:r>
        <w:t xml:space="preserve">3.3 Codebook and inclusion criteria</w:t>
      </w:r>
    </w:p>
    <w:p>
      <w:pPr>
        <w:pStyle w:val="FirstParagraph"/>
      </w:pPr>
      <w:r>
        <w:t xml:space="preserve">The codebook’s inclusion rule, which I refer to as the North Star criteria, admits a person-record only if all three conditions hold: (1) the person is proven or strongly implied innocent of the accused offense; (2) the person experiences public exposure (workplace, family, school, media, church, or online) or a physical or violent consequence; and (3) the harm follows from the accusation itself rather than from unrelated events. Being accused in front of colleagues with no further sanction qualifies, at the low end of the severity scale. Private questioning with no spread and no material harm does not qualify at all.</w:t>
      </w:r>
    </w:p>
    <w:p>
      <w:pPr>
        <w:pStyle w:val="BodyText"/>
      </w:pPr>
      <w:r>
        <w:t xml:space="preserve">Each record carries controlled-vocabulary fields: innocence status (proven innocent, strongly implied innocent, partially involved, actually guilty); role in plot (initial suspect, red herring, family member, colleague, community member, other); the offense accused of; accusation origin, defined as who first pointed the finger (victim identification, witness misidentification, squad inference, coerced interview, technical or database error, fabrication, unknown); exposure channel and the party who disclosed; consequence category and free-text detail; and a four-point severity scale: 1, private or low-level harm; 2, public exposure without formal sanction; 3, material sanction or serious fallout; 4, life-altering outcomes or death. Two further fields code police behavior: conduct toward the person (none, verbal threat, coercive tactic, insult or degradation, multiple) and apology (none, partial, formal, unknown), where a partial apology is softened language without responsibility and a formal apology is a clear on-screen acknowledgment of the wrongful accusation. Records also store verbatim supporting quotes, free-form tags, and notes.</w:t>
      </w:r>
    </w:p>
    <w:p>
      <w:pPr>
        <w:pStyle w:val="BodyText"/>
      </w:pPr>
      <w:r>
        <w:t xml:space="preserve">Two design choices are deliberate rather than incidental. The North Star criteria are conservative, built to exclude rather than include: a person privately questioned and released, with no spread and no material consequence, generates no record, however unpleasant the scene. This buys precision at the price of recall, and it means the counts reported here are floors. And the retention of partially involved persons follows from the study’s definition of its object. A man who lied about an affair and was then wrongly accused of the rape is innocent of the accusation; the harm the accusation causes him is the phenomenon under measurement, whatever else he did. Excluding such cases would quietly adopt the detectives’ own logic, that prior bad acts make a person a legitimate target, and that logic is part of what the study exists to examine. The codebook carries one documented defect here: its rules line says exclude the guilty while its vocabulary includes partially_involved, a conflict at the margin that Section 3.4 records resolving.</w:t>
      </w:r>
    </w:p>
    <w:bookmarkEnd w:id="17"/>
    <w:bookmarkStart w:id="18" w:name="X9a72ed6f628b6d883dc19818ecdb64a5898ac07"/>
    <w:p>
      <w:pPr>
        <w:pStyle w:val="Heading3"/>
      </w:pPr>
      <w:r>
        <w:t xml:space="preserve">3.4 Analysis set, exclusions, and normalization</w:t>
      </w:r>
    </w:p>
    <w:p>
      <w:pPr>
        <w:pStyle w:val="FirstParagraph"/>
      </w:pPr>
      <w:r>
        <w:t xml:space="preserve">The raw coding produced 541 person-records. Five are coded actually guilty: Thomas</w:t>
      </w:r>
      <w:r>
        <w:t xml:space="preserve"> </w:t>
      </w:r>
      <w:r>
        <w:t xml:space="preserve">“Bird”</w:t>
      </w:r>
      <w:r>
        <w:t xml:space="preserve"> </w:t>
      </w:r>
      <w:r>
        <w:t xml:space="preserve">Gordon and Judge Walter Thornburg (both S03E19), Gabriel Duvall in his initial questioning (S06E20), Bill Harris initially (S12E03), and Orville Underwood (S12E12). I excluded the five: the study counts harm to the innocent, and the codebook itself instructs their exclusion. The transcript audit then removed 15 more: the phantom records generated by the nine wrong-transcript episodes, among them Stephanie Mulroney’s S01E13 row and Larry Tauber’s S05E04 row, both codings of another episode’s script. The analysis set is therefore n = 521.</w:t>
      </w:r>
    </w:p>
    <w:p>
      <w:pPr>
        <w:pStyle w:val="BodyText"/>
      </w:pPr>
      <w:r>
        <w:t xml:space="preserve">The unit is the person-episode, and I use that term deliberately. Eight records beyond the phantoms belong to recurring persons accused in separate episodes: Nick Amaro and Marsden are coded three times each, and Brian Cassidy, Elliot Stabler, Ed Tucker, and Lomatin twice each. The 521 person-episode records therefore describe roughly 513 unique persons. Records coded partially involved (n = 43) are retained: by the controlled-vocabulary definition, these people are guilty of something else and innocent of the accused offense, which is the situation the study measures.</w:t>
      </w:r>
    </w:p>
    <w:p>
      <w:pPr>
        <w:pStyle w:val="BodyText"/>
      </w:pPr>
      <w:r>
        <w:t xml:space="preserve">Two fields required normalization, disclosed here in full. In accusation origin, the coder produced four out-of-vocabulary records labeled victim_misID (S12E15, S16E13, S20E09, S21E05); each is a victim personally identifying the wrong person, the documented definition of victim_ID, so the four were folded in (90 + 4 = 94). One record labeled third_party (S17E17) matches the documented definition of witness_misID and was folded in (38 + 1 = 39). In the accused-of field, three spelling variants of kidnapping were unified, and five undocumented values (murder, kidnapping, arson, terrorism, child abandonment) were retained as coded. The apology field contains two records coded unknown (both S20E21); these are treated as non-apologies in every rate.</w:t>
      </w:r>
    </w:p>
    <w:p>
      <w:pPr>
        <w:pStyle w:val="BodyText"/>
      </w:pPr>
      <w:r>
        <w:t xml:space="preserve">The four transcriptless episodes returned has_false_suspect = Maybe and zero person-records. Because 15 episodes in total carry the Maybe flag, every episode-level rate in this article is reported under both treatments, Y-only and Y-plus-Maybe; the overall false-suspect rate moves by 2.7 percentage points between them, and no conclusion depends on the choice. The single encoding-damaged episode (S06E09) still yielded one person-record, which I treat as lower confidence. Sixteen episodes (2.8%) carry the coder’s needs-deep-review flag. Those 16 have not yet been individually re-reviewed; four are the transcriptless episodes, and the rest are queued for the validation pass.</w:t>
      </w:r>
    </w:p>
    <w:bookmarkEnd w:id="18"/>
    <w:bookmarkStart w:id="19" w:name="verification-the-death-audit-and-quotes"/>
    <w:p>
      <w:pPr>
        <w:pStyle w:val="Heading3"/>
      </w:pPr>
      <w:r>
        <w:t xml:space="preserve">3.5 Verification, the death audit, and quotes</w:t>
      </w:r>
    </w:p>
    <w:p>
      <w:pPr>
        <w:pStyle w:val="FirstParagraph"/>
      </w:pPr>
      <w:r>
        <w:t xml:space="preserve">The free-text consequence field is a keyword trap, and I fell into it before I climbed out. An early internal draft of this analysis counted deaths by keyword matching and reported 31 murders, 21 suicides, and 25 assaults. Row-level verification against the consequence detail, notes, and quoted scenes showed all three figures were wrong: the keyword count had absorbed strings such as arrested_for_wrong_murder, suicide_watch, suicide_attempt, assisted_suicide, family_murdered, and suspected_then_cleared_by_death, none of which is a death of the accused person. Every death and injury figure in Section 4.8 was therefore adjudicated row by row: each qualifying record inspected, each borderline ruled on by name, each keyword trap excluded. Three injuries that appear only in the notes field, never in the structured consequence detail, are reported separately and never merged into headline counts. I flagged this correction in the first draft because it taught a simple rule: structured fields are for counting, free text is for reading.</w:t>
      </w:r>
    </w:p>
    <w:p>
      <w:pPr>
        <w:pStyle w:val="BodyText"/>
      </w:pPr>
      <w:r>
        <w:t xml:space="preserve">The transcript audit extended that rule one level down. Structured fields are only as trustworthy as the source cell they were computed from, and the audit found deaths hiding in both directions: a murder recorded only in the free-form tags (Dr. Archibald Newlands, S05E05), which the first death pass missed, and a suicide duplicated across two episodes by a copied transcript (Larry Tauber), which the first pass counted twice. The rules were tightened accordingly, and Section 4.8 reports the adjudicated final numbers with every borderline ruling named.</w:t>
      </w:r>
    </w:p>
    <w:p>
      <w:pPr>
        <w:pStyle w:val="BodyText"/>
      </w:pPr>
      <w:r>
        <w:t xml:space="preserve">All quoted dialogue in this article was verified verbatim against the source transcripts. The transcripts carry no speaker labels, so where a quote is attributed to a named character, the attribution follows scene context.</w:t>
      </w:r>
    </w:p>
    <w:bookmarkEnd w:id="19"/>
    <w:bookmarkStart w:id="20" w:name="analytic-approach"/>
    <w:p>
      <w:pPr>
        <w:pStyle w:val="Heading3"/>
      </w:pPr>
      <w:r>
        <w:t xml:space="preserve">3.6 Analytic approach</w:t>
      </w:r>
    </w:p>
    <w:p>
      <w:pPr>
        <w:pStyle w:val="FirstParagraph"/>
      </w:pPr>
      <w:r>
        <w:t xml:space="preserve">Because the dataset is a census of the show rather than a sample, the results are population descriptions of the text and carry no sampling error; I report proportions and cross-tabulations without significance tests. The companion longitudinal study tests era contrasts, under an explicitly stated view of each season as one draw from a stochastic writers’-room process (Orden, in preparation); for the census description here, the proportions are the facts. Severity means treat the four-point scale as interval for summary only, and medians are reported alongside. All figures were computed directly from the two flat files with a Python standard-library script, and I validated every number against them.</w:t>
      </w:r>
    </w:p>
    <w:bookmarkEnd w:id="20"/>
    <w:bookmarkEnd w:id="21"/>
    <w:bookmarkStart w:id="30" w:name="results"/>
    <w:p>
      <w:pPr>
        <w:pStyle w:val="Heading2"/>
      </w:pPr>
      <w:r>
        <w:t xml:space="preserve">4. Results</w:t>
      </w:r>
    </w:p>
    <w:bookmarkStart w:id="22" w:name="prevalence"/>
    <w:p>
      <w:pPr>
        <w:pStyle w:val="Heading3"/>
      </w:pPr>
      <w:r>
        <w:t xml:space="preserve">4.1 Prevalence</w:t>
      </w:r>
    </w:p>
    <w:p>
      <w:pPr>
        <w:pStyle w:val="FirstParagraph"/>
      </w:pPr>
      <w:r>
        <w:t xml:space="preserve">Table 1 reports the episode-level rates on the corrected base. Of 567 episodes, 337 (59.4%) contain at least one person accused and later shown or strongly implied to be innocent; adding the 15 ambiguous episodes raises the figure to 352 (62.1%). Public exposure of an innocent person occurs in 295 episodes (52.0%; 306 or 54.0% with ambiguous cases). More than half the time, an hour of SVU includes the public shaming of somebody who did not do it.</w:t>
      </w:r>
    </w:p>
    <w:p>
      <w:pPr>
        <w:pStyle w:val="BodyText"/>
      </w:pPr>
      <w:r>
        <w:rPr>
          <w:b/>
          <w:bCs/>
        </w:rPr>
        <w:t xml:space="preserve">Table 1. Episode-level prevalence (N = 567 episodes)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Flag</w:t>
            </w:r>
          </w:p>
        </w:tc>
        <w:tc>
          <w:tcPr/>
          <w:p>
            <w:pPr>
              <w:pStyle w:val="Compact"/>
            </w:pPr>
            <w:r>
              <w:t xml:space="preserve">Y</w:t>
            </w:r>
          </w:p>
        </w:tc>
        <w:tc>
          <w:tcPr/>
          <w:p>
            <w:pPr>
              <w:pStyle w:val="Compact"/>
            </w:pPr>
            <w:r>
              <w:t xml:space="preserve">Maybe</w:t>
            </w:r>
          </w:p>
        </w:tc>
        <w:tc>
          <w:tcPr/>
          <w:p>
            <w:pPr>
              <w:pStyle w:val="Compact"/>
            </w:pPr>
            <w:r>
              <w:t xml:space="preserve">Y-only rate</w:t>
            </w:r>
          </w:p>
        </w:tc>
        <w:tc>
          <w:tcPr/>
          <w:p>
            <w:pPr>
              <w:pStyle w:val="Compact"/>
            </w:pPr>
            <w:r>
              <w:t xml:space="preserve">Y+Maybe rate</w:t>
            </w:r>
          </w:p>
        </w:tc>
      </w:tr>
      <w:tr>
        <w:tc>
          <w:tcPr/>
          <w:p>
            <w:pPr>
              <w:pStyle w:val="Compact"/>
            </w:pPr>
            <w:r>
              <w:t xml:space="preserve">Contains a false suspect</w:t>
            </w:r>
          </w:p>
        </w:tc>
        <w:tc>
          <w:tcPr/>
          <w:p>
            <w:pPr>
              <w:pStyle w:val="Compact"/>
            </w:pPr>
            <w:r>
              <w:t xml:space="preserve">337</w:t>
            </w:r>
          </w:p>
        </w:tc>
        <w:tc>
          <w:tcPr/>
          <w:p>
            <w:pPr>
              <w:pStyle w:val="Compact"/>
            </w:pPr>
            <w:r>
              <w:t xml:space="preserve">15</w:t>
            </w:r>
          </w:p>
        </w:tc>
        <w:tc>
          <w:tcPr/>
          <w:p>
            <w:pPr>
              <w:pStyle w:val="Compact"/>
            </w:pPr>
            <w:r>
              <w:t xml:space="preserve">337/567 = 59.4%</w:t>
            </w:r>
          </w:p>
        </w:tc>
        <w:tc>
          <w:tcPr/>
          <w:p>
            <w:pPr>
              <w:pStyle w:val="Compact"/>
            </w:pPr>
            <w:r>
              <w:t xml:space="preserve">352/567 = 62.1%</w:t>
            </w:r>
          </w:p>
        </w:tc>
      </w:tr>
      <w:tr>
        <w:tc>
          <w:tcPr/>
          <w:p>
            <w:pPr>
              <w:pStyle w:val="Compact"/>
            </w:pPr>
            <w:r>
              <w:t xml:space="preserve">Contains public exposure of an innocent person</w:t>
            </w:r>
          </w:p>
        </w:tc>
        <w:tc>
          <w:tcPr/>
          <w:p>
            <w:pPr>
              <w:pStyle w:val="Compact"/>
            </w:pPr>
            <w:r>
              <w:t xml:space="preserve">295</w:t>
            </w:r>
          </w:p>
        </w:tc>
        <w:tc>
          <w:tcPr/>
          <w:p>
            <w:pPr>
              <w:pStyle w:val="Compact"/>
            </w:pPr>
            <w:r>
              <w:t xml:space="preserve">11</w:t>
            </w:r>
          </w:p>
        </w:tc>
        <w:tc>
          <w:tcPr/>
          <w:p>
            <w:pPr>
              <w:pStyle w:val="Compact"/>
            </w:pPr>
            <w:r>
              <w:t xml:space="preserve">295/567 = 52.0%</w:t>
            </w:r>
          </w:p>
        </w:tc>
        <w:tc>
          <w:tcPr/>
          <w:p>
            <w:pPr>
              <w:pStyle w:val="Compact"/>
            </w:pPr>
            <w:r>
              <w:t xml:space="preserve">306/567 = 54.0%</w:t>
            </w:r>
          </w:p>
        </w:tc>
      </w:tr>
      <w:tr>
        <w:tc>
          <w:tcPr/>
          <w:p>
            <w:pPr>
              <w:pStyle w:val="Compact"/>
            </w:pPr>
            <w:r>
              <w:t xml:space="preserve">Flagged for deep review</w:t>
            </w:r>
          </w:p>
        </w:tc>
        <w:tc>
          <w:tcPr/>
          <w:p>
            <w:pPr>
              <w:pStyle w:val="Compact"/>
            </w:pPr>
            <w:r>
              <w:t xml:space="preserve">16</w:t>
            </w:r>
          </w:p>
        </w:tc>
        <w:tc>
          <w:tcPr/>
          <w:p>
            <w:pPr>
              <w:pStyle w:val="Compact"/>
            </w:pPr>
            <w:r>
              <w:t xml:space="preserve">n/a</w:t>
            </w:r>
          </w:p>
        </w:tc>
        <w:tc>
          <w:tcPr/>
          <w:p>
            <w:pPr>
              <w:pStyle w:val="Compact"/>
            </w:pPr>
            <w:r>
              <w:t xml:space="preserve">16/567 = 2.8%</w:t>
            </w:r>
          </w:p>
        </w:tc>
        <w:tc>
          <w:tcPr/>
          <w:p>
            <w:pPr>
              <w:pStyle w:val="Compact"/>
            </w:pPr>
            <w:r>
              <w:t xml:space="preserve">n/a</w:t>
            </w:r>
          </w:p>
        </w:tc>
      </w:tr>
    </w:tbl>
    <w:p>
      <w:pPr>
        <w:pStyle w:val="BodyText"/>
      </w:pPr>
      <w:r>
        <w:t xml:space="preserve">At the person level, the 521 qualifying records work out to 0.92 per episode: nearly one innocent life disrupted per hour of television, sustained for 27 years. Table 2 gives the per-season counts. The early and middle seasons run hottest, with season 9 the densest at 1.89 persons per episode, and the rate falls in the 2020s, bottoming at 6 persons in season 21 (0.30 per episode), though it never reaches zero.</w:t>
      </w:r>
    </w:p>
    <w:p>
      <w:pPr>
        <w:pStyle w:val="BodyText"/>
      </w:pPr>
      <w:r>
        <w:rPr>
          <w:b/>
          <w:bCs/>
        </w:rPr>
        <w:t xml:space="preserve">Table 2. Persons harmed per season (episode counts exclude corrupted-source episodes)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Season</w:t>
            </w:r>
          </w:p>
        </w:tc>
        <w:tc>
          <w:tcPr/>
          <w:p>
            <w:pPr>
              <w:pStyle w:val="Compact"/>
            </w:pPr>
            <w:r>
              <w:t xml:space="preserve">Episodes</w:t>
            </w:r>
          </w:p>
        </w:tc>
        <w:tc>
          <w:tcPr/>
          <w:p>
            <w:pPr>
              <w:pStyle w:val="Compact"/>
            </w:pPr>
            <w:r>
              <w:t xml:space="preserve">Persons harmed</w:t>
            </w:r>
          </w:p>
        </w:tc>
        <w:tc>
          <w:tcPr/>
          <w:p>
            <w:pPr>
              <w:pStyle w:val="Compact"/>
            </w:pPr>
            <w:r>
              <w:t xml:space="preserve">Persons/episode</w:t>
            </w:r>
          </w:p>
        </w:tc>
      </w:tr>
      <w:tr>
        <w:tc>
          <w:tcPr/>
          <w:p>
            <w:pPr>
              <w:pStyle w:val="Compact"/>
            </w:pPr>
            <w:r>
              <w:t xml:space="preserve">1</w:t>
            </w:r>
          </w:p>
        </w:tc>
        <w:tc>
          <w:tcPr/>
          <w:p>
            <w:pPr>
              <w:pStyle w:val="Compact"/>
            </w:pPr>
            <w:r>
              <w:t xml:space="preserve">21</w:t>
            </w:r>
          </w:p>
        </w:tc>
        <w:tc>
          <w:tcPr/>
          <w:p>
            <w:pPr>
              <w:pStyle w:val="Compact"/>
            </w:pPr>
            <w:r>
              <w:t xml:space="preserve">17</w:t>
            </w:r>
          </w:p>
        </w:tc>
        <w:tc>
          <w:tcPr/>
          <w:p>
            <w:pPr>
              <w:pStyle w:val="Compact"/>
            </w:pPr>
            <w:r>
              <w:t xml:space="preserve">0.81</w:t>
            </w:r>
          </w:p>
        </w:tc>
      </w:tr>
      <w:tr>
        <w:tc>
          <w:tcPr/>
          <w:p>
            <w:pPr>
              <w:pStyle w:val="Compact"/>
            </w:pPr>
            <w:r>
              <w:t xml:space="preserve">2</w:t>
            </w:r>
          </w:p>
        </w:tc>
        <w:tc>
          <w:tcPr/>
          <w:p>
            <w:pPr>
              <w:pStyle w:val="Compact"/>
            </w:pPr>
            <w:r>
              <w:t xml:space="preserve">19</w:t>
            </w:r>
          </w:p>
        </w:tc>
        <w:tc>
          <w:tcPr/>
          <w:p>
            <w:pPr>
              <w:pStyle w:val="Compact"/>
            </w:pPr>
            <w:r>
              <w:t xml:space="preserve">29</w:t>
            </w:r>
          </w:p>
        </w:tc>
        <w:tc>
          <w:tcPr/>
          <w:p>
            <w:pPr>
              <w:pStyle w:val="Compact"/>
            </w:pPr>
            <w:r>
              <w:t xml:space="preserve">1.53</w:t>
            </w:r>
          </w:p>
        </w:tc>
      </w:tr>
      <w:tr>
        <w:tc>
          <w:tcPr/>
          <w:p>
            <w:pPr>
              <w:pStyle w:val="Compact"/>
            </w:pPr>
            <w:r>
              <w:t xml:space="preserve">3</w:t>
            </w:r>
          </w:p>
        </w:tc>
        <w:tc>
          <w:tcPr/>
          <w:p>
            <w:pPr>
              <w:pStyle w:val="Compact"/>
            </w:pPr>
            <w:r>
              <w:t xml:space="preserve">23</w:t>
            </w:r>
          </w:p>
        </w:tc>
        <w:tc>
          <w:tcPr/>
          <w:p>
            <w:pPr>
              <w:pStyle w:val="Compact"/>
            </w:pPr>
            <w:r>
              <w:t xml:space="preserve">25</w:t>
            </w:r>
          </w:p>
        </w:tc>
        <w:tc>
          <w:tcPr/>
          <w:p>
            <w:pPr>
              <w:pStyle w:val="Compact"/>
            </w:pPr>
            <w:r>
              <w:t xml:space="preserve">1.09</w:t>
            </w:r>
          </w:p>
        </w:tc>
      </w:tr>
      <w:tr>
        <w:tc>
          <w:tcPr/>
          <w:p>
            <w:pPr>
              <w:pStyle w:val="Compact"/>
            </w:pPr>
            <w:r>
              <w:t xml:space="preserve">4</w:t>
            </w:r>
          </w:p>
        </w:tc>
        <w:tc>
          <w:tcPr/>
          <w:p>
            <w:pPr>
              <w:pStyle w:val="Compact"/>
            </w:pPr>
            <w:r>
              <w:t xml:space="preserve">24</w:t>
            </w:r>
          </w:p>
        </w:tc>
        <w:tc>
          <w:tcPr/>
          <w:p>
            <w:pPr>
              <w:pStyle w:val="Compact"/>
            </w:pPr>
            <w:r>
              <w:t xml:space="preserve">32</w:t>
            </w:r>
          </w:p>
        </w:tc>
        <w:tc>
          <w:tcPr/>
          <w:p>
            <w:pPr>
              <w:pStyle w:val="Compact"/>
            </w:pPr>
            <w:r>
              <w:t xml:space="preserve">1.33</w:t>
            </w:r>
          </w:p>
        </w:tc>
      </w:tr>
      <w:tr>
        <w:tc>
          <w:tcPr/>
          <w:p>
            <w:pPr>
              <w:pStyle w:val="Compact"/>
            </w:pPr>
            <w:r>
              <w:t xml:space="preserve">5</w:t>
            </w:r>
          </w:p>
        </w:tc>
        <w:tc>
          <w:tcPr/>
          <w:p>
            <w:pPr>
              <w:pStyle w:val="Compact"/>
            </w:pPr>
            <w:r>
              <w:t xml:space="preserve">23</w:t>
            </w:r>
          </w:p>
        </w:tc>
        <w:tc>
          <w:tcPr/>
          <w:p>
            <w:pPr>
              <w:pStyle w:val="Compact"/>
            </w:pPr>
            <w:r>
              <w:t xml:space="preserve">34</w:t>
            </w:r>
          </w:p>
        </w:tc>
        <w:tc>
          <w:tcPr/>
          <w:p>
            <w:pPr>
              <w:pStyle w:val="Compact"/>
            </w:pPr>
            <w:r>
              <w:t xml:space="preserve">1.48</w:t>
            </w:r>
          </w:p>
        </w:tc>
      </w:tr>
      <w:tr>
        <w:tc>
          <w:tcPr/>
          <w:p>
            <w:pPr>
              <w:pStyle w:val="Compact"/>
            </w:pPr>
            <w:r>
              <w:t xml:space="preserve">6</w:t>
            </w:r>
          </w:p>
        </w:tc>
        <w:tc>
          <w:tcPr/>
          <w:p>
            <w:pPr>
              <w:pStyle w:val="Compact"/>
            </w:pPr>
            <w:r>
              <w:t xml:space="preserve">23</w:t>
            </w:r>
          </w:p>
        </w:tc>
        <w:tc>
          <w:tcPr/>
          <w:p>
            <w:pPr>
              <w:pStyle w:val="Compact"/>
            </w:pPr>
            <w:r>
              <w:t xml:space="preserve">27</w:t>
            </w:r>
          </w:p>
        </w:tc>
        <w:tc>
          <w:tcPr/>
          <w:p>
            <w:pPr>
              <w:pStyle w:val="Compact"/>
            </w:pPr>
            <w:r>
              <w:t xml:space="preserve">1.17</w:t>
            </w:r>
          </w:p>
        </w:tc>
      </w:tr>
      <w:tr>
        <w:tc>
          <w:tcPr/>
          <w:p>
            <w:pPr>
              <w:pStyle w:val="Compact"/>
            </w:pPr>
            <w:r>
              <w:t xml:space="preserve">7</w:t>
            </w:r>
          </w:p>
        </w:tc>
        <w:tc>
          <w:tcPr/>
          <w:p>
            <w:pPr>
              <w:pStyle w:val="Compact"/>
            </w:pPr>
            <w:r>
              <w:t xml:space="preserve">22</w:t>
            </w:r>
          </w:p>
        </w:tc>
        <w:tc>
          <w:tcPr/>
          <w:p>
            <w:pPr>
              <w:pStyle w:val="Compact"/>
            </w:pPr>
            <w:r>
              <w:t xml:space="preserve">18</w:t>
            </w:r>
          </w:p>
        </w:tc>
        <w:tc>
          <w:tcPr/>
          <w:p>
            <w:pPr>
              <w:pStyle w:val="Compact"/>
            </w:pPr>
            <w:r>
              <w:t xml:space="preserve">0.82</w:t>
            </w:r>
          </w:p>
        </w:tc>
      </w:tr>
      <w:tr>
        <w:tc>
          <w:tcPr/>
          <w:p>
            <w:pPr>
              <w:pStyle w:val="Compact"/>
            </w:pPr>
            <w:r>
              <w:t xml:space="preserve">8</w:t>
            </w:r>
          </w:p>
        </w:tc>
        <w:tc>
          <w:tcPr/>
          <w:p>
            <w:pPr>
              <w:pStyle w:val="Compact"/>
            </w:pPr>
            <w:r>
              <w:t xml:space="preserve">21</w:t>
            </w:r>
          </w:p>
        </w:tc>
        <w:tc>
          <w:tcPr/>
          <w:p>
            <w:pPr>
              <w:pStyle w:val="Compact"/>
            </w:pPr>
            <w:r>
              <w:t xml:space="preserve">22</w:t>
            </w:r>
          </w:p>
        </w:tc>
        <w:tc>
          <w:tcPr/>
          <w:p>
            <w:pPr>
              <w:pStyle w:val="Compact"/>
            </w:pPr>
            <w:r>
              <w:t xml:space="preserve">1.05</w:t>
            </w:r>
          </w:p>
        </w:tc>
      </w:tr>
      <w:tr>
        <w:tc>
          <w:tcPr/>
          <w:p>
            <w:pPr>
              <w:pStyle w:val="Compact"/>
            </w:pPr>
            <w:r>
              <w:t xml:space="preserve">9</w:t>
            </w:r>
          </w:p>
        </w:tc>
        <w:tc>
          <w:tcPr/>
          <w:p>
            <w:pPr>
              <w:pStyle w:val="Compact"/>
            </w:pPr>
            <w:r>
              <w:t xml:space="preserve">18</w:t>
            </w:r>
          </w:p>
        </w:tc>
        <w:tc>
          <w:tcPr/>
          <w:p>
            <w:pPr>
              <w:pStyle w:val="Compact"/>
            </w:pPr>
            <w:r>
              <w:t xml:space="preserve">34</w:t>
            </w:r>
          </w:p>
        </w:tc>
        <w:tc>
          <w:tcPr/>
          <w:p>
            <w:pPr>
              <w:pStyle w:val="Compact"/>
            </w:pPr>
            <w:r>
              <w:t xml:space="preserve">1.89</w:t>
            </w:r>
          </w:p>
        </w:tc>
      </w:tr>
      <w:tr>
        <w:tc>
          <w:tcPr/>
          <w:p>
            <w:pPr>
              <w:pStyle w:val="Compact"/>
            </w:pPr>
            <w:r>
              <w:t xml:space="preserve">10</w:t>
            </w:r>
          </w:p>
        </w:tc>
        <w:tc>
          <w:tcPr/>
          <w:p>
            <w:pPr>
              <w:pStyle w:val="Compact"/>
            </w:pPr>
            <w:r>
              <w:t xml:space="preserve">22</w:t>
            </w:r>
          </w:p>
        </w:tc>
        <w:tc>
          <w:tcPr/>
          <w:p>
            <w:pPr>
              <w:pStyle w:val="Compact"/>
            </w:pPr>
            <w:r>
              <w:t xml:space="preserve">27</w:t>
            </w:r>
          </w:p>
        </w:tc>
        <w:tc>
          <w:tcPr/>
          <w:p>
            <w:pPr>
              <w:pStyle w:val="Compact"/>
            </w:pPr>
            <w:r>
              <w:t xml:space="preserve">1.23</w:t>
            </w:r>
          </w:p>
        </w:tc>
      </w:tr>
      <w:tr>
        <w:tc>
          <w:tcPr/>
          <w:p>
            <w:pPr>
              <w:pStyle w:val="Compact"/>
            </w:pPr>
            <w:r>
              <w:t xml:space="preserve">11</w:t>
            </w:r>
          </w:p>
        </w:tc>
        <w:tc>
          <w:tcPr/>
          <w:p>
            <w:pPr>
              <w:pStyle w:val="Compact"/>
            </w:pPr>
            <w:r>
              <w:t xml:space="preserve">23</w:t>
            </w:r>
          </w:p>
        </w:tc>
        <w:tc>
          <w:tcPr/>
          <w:p>
            <w:pPr>
              <w:pStyle w:val="Compact"/>
            </w:pPr>
            <w:r>
              <w:t xml:space="preserve">29</w:t>
            </w:r>
          </w:p>
        </w:tc>
        <w:tc>
          <w:tcPr/>
          <w:p>
            <w:pPr>
              <w:pStyle w:val="Compact"/>
            </w:pPr>
            <w:r>
              <w:t xml:space="preserve">1.26</w:t>
            </w:r>
          </w:p>
        </w:tc>
      </w:tr>
      <w:tr>
        <w:tc>
          <w:tcPr/>
          <w:p>
            <w:pPr>
              <w:pStyle w:val="Compact"/>
            </w:pPr>
            <w:r>
              <w:t xml:space="preserve">12</w:t>
            </w:r>
          </w:p>
        </w:tc>
        <w:tc>
          <w:tcPr/>
          <w:p>
            <w:pPr>
              <w:pStyle w:val="Compact"/>
            </w:pPr>
            <w:r>
              <w:t xml:space="preserve">24</w:t>
            </w:r>
          </w:p>
        </w:tc>
        <w:tc>
          <w:tcPr/>
          <w:p>
            <w:pPr>
              <w:pStyle w:val="Compact"/>
            </w:pPr>
            <w:r>
              <w:t xml:space="preserve">22</w:t>
            </w:r>
          </w:p>
        </w:tc>
        <w:tc>
          <w:tcPr/>
          <w:p>
            <w:pPr>
              <w:pStyle w:val="Compact"/>
            </w:pPr>
            <w:r>
              <w:t xml:space="preserve">0.92</w:t>
            </w:r>
          </w:p>
        </w:tc>
      </w:tr>
      <w:tr>
        <w:tc>
          <w:tcPr/>
          <w:p>
            <w:pPr>
              <w:pStyle w:val="Compact"/>
            </w:pPr>
            <w:r>
              <w:t xml:space="preserve">13</w:t>
            </w:r>
          </w:p>
        </w:tc>
        <w:tc>
          <w:tcPr/>
          <w:p>
            <w:pPr>
              <w:pStyle w:val="Compact"/>
            </w:pPr>
            <w:r>
              <w:t xml:space="preserve">23</w:t>
            </w:r>
          </w:p>
        </w:tc>
        <w:tc>
          <w:tcPr/>
          <w:p>
            <w:pPr>
              <w:pStyle w:val="Compact"/>
            </w:pPr>
            <w:r>
              <w:t xml:space="preserve">29</w:t>
            </w:r>
          </w:p>
        </w:tc>
        <w:tc>
          <w:tcPr/>
          <w:p>
            <w:pPr>
              <w:pStyle w:val="Compact"/>
            </w:pPr>
            <w:r>
              <w:t xml:space="preserve">1.26</w:t>
            </w:r>
          </w:p>
        </w:tc>
      </w:tr>
      <w:tr>
        <w:tc>
          <w:tcPr/>
          <w:p>
            <w:pPr>
              <w:pStyle w:val="Compact"/>
            </w:pPr>
            <w:r>
              <w:t xml:space="preserve">14</w:t>
            </w:r>
          </w:p>
        </w:tc>
        <w:tc>
          <w:tcPr/>
          <w:p>
            <w:pPr>
              <w:pStyle w:val="Compact"/>
            </w:pPr>
            <w:r>
              <w:t xml:space="preserve">24</w:t>
            </w:r>
          </w:p>
        </w:tc>
        <w:tc>
          <w:tcPr/>
          <w:p>
            <w:pPr>
              <w:pStyle w:val="Compact"/>
            </w:pPr>
            <w:r>
              <w:t xml:space="preserve">20</w:t>
            </w:r>
          </w:p>
        </w:tc>
        <w:tc>
          <w:tcPr/>
          <w:p>
            <w:pPr>
              <w:pStyle w:val="Compact"/>
            </w:pPr>
            <w:r>
              <w:t xml:space="preserve">0.83</w:t>
            </w:r>
          </w:p>
        </w:tc>
      </w:tr>
      <w:tr>
        <w:tc>
          <w:tcPr/>
          <w:p>
            <w:pPr>
              <w:pStyle w:val="Compact"/>
            </w:pPr>
            <w:r>
              <w:t xml:space="preserve">15</w:t>
            </w:r>
          </w:p>
        </w:tc>
        <w:tc>
          <w:tcPr/>
          <w:p>
            <w:pPr>
              <w:pStyle w:val="Compact"/>
            </w:pPr>
            <w:r>
              <w:t xml:space="preserve">24</w:t>
            </w:r>
          </w:p>
        </w:tc>
        <w:tc>
          <w:tcPr/>
          <w:p>
            <w:pPr>
              <w:pStyle w:val="Compact"/>
            </w:pPr>
            <w:r>
              <w:t xml:space="preserve">15</w:t>
            </w:r>
          </w:p>
        </w:tc>
        <w:tc>
          <w:tcPr/>
          <w:p>
            <w:pPr>
              <w:pStyle w:val="Compact"/>
            </w:pPr>
            <w:r>
              <w:t xml:space="preserve">0.62</w:t>
            </w:r>
          </w:p>
        </w:tc>
      </w:tr>
      <w:tr>
        <w:tc>
          <w:tcPr/>
          <w:p>
            <w:pPr>
              <w:pStyle w:val="Compact"/>
            </w:pPr>
            <w:r>
              <w:t xml:space="preserve">16</w:t>
            </w:r>
          </w:p>
        </w:tc>
        <w:tc>
          <w:tcPr/>
          <w:p>
            <w:pPr>
              <w:pStyle w:val="Compact"/>
            </w:pPr>
            <w:r>
              <w:t xml:space="preserve">23</w:t>
            </w:r>
          </w:p>
        </w:tc>
        <w:tc>
          <w:tcPr/>
          <w:p>
            <w:pPr>
              <w:pStyle w:val="Compact"/>
            </w:pPr>
            <w:r>
              <w:t xml:space="preserve">14</w:t>
            </w:r>
          </w:p>
        </w:tc>
        <w:tc>
          <w:tcPr/>
          <w:p>
            <w:pPr>
              <w:pStyle w:val="Compact"/>
            </w:pPr>
            <w:r>
              <w:t xml:space="preserve">0.61</w:t>
            </w:r>
          </w:p>
        </w:tc>
      </w:tr>
      <w:tr>
        <w:tc>
          <w:tcPr/>
          <w:p>
            <w:pPr>
              <w:pStyle w:val="Compact"/>
            </w:pPr>
            <w:r>
              <w:t xml:space="preserve">17</w:t>
            </w:r>
          </w:p>
        </w:tc>
        <w:tc>
          <w:tcPr/>
          <w:p>
            <w:pPr>
              <w:pStyle w:val="Compact"/>
            </w:pPr>
            <w:r>
              <w:t xml:space="preserve">23</w:t>
            </w:r>
          </w:p>
        </w:tc>
        <w:tc>
          <w:tcPr/>
          <w:p>
            <w:pPr>
              <w:pStyle w:val="Compact"/>
            </w:pPr>
            <w:r>
              <w:t xml:space="preserve">16</w:t>
            </w:r>
          </w:p>
        </w:tc>
        <w:tc>
          <w:tcPr/>
          <w:p>
            <w:pPr>
              <w:pStyle w:val="Compact"/>
            </w:pPr>
            <w:r>
              <w:t xml:space="preserve">0.70</w:t>
            </w:r>
          </w:p>
        </w:tc>
      </w:tr>
      <w:tr>
        <w:tc>
          <w:tcPr/>
          <w:p>
            <w:pPr>
              <w:pStyle w:val="Compact"/>
            </w:pPr>
            <w:r>
              <w:t xml:space="preserve">18</w:t>
            </w:r>
          </w:p>
        </w:tc>
        <w:tc>
          <w:tcPr/>
          <w:p>
            <w:pPr>
              <w:pStyle w:val="Compact"/>
            </w:pPr>
            <w:r>
              <w:t xml:space="preserve">21</w:t>
            </w:r>
          </w:p>
        </w:tc>
        <w:tc>
          <w:tcPr/>
          <w:p>
            <w:pPr>
              <w:pStyle w:val="Compact"/>
            </w:pPr>
            <w:r>
              <w:t xml:space="preserve">17</w:t>
            </w:r>
          </w:p>
        </w:tc>
        <w:tc>
          <w:tcPr/>
          <w:p>
            <w:pPr>
              <w:pStyle w:val="Compact"/>
            </w:pPr>
            <w:r>
              <w:t xml:space="preserve">0.81</w:t>
            </w:r>
          </w:p>
        </w:tc>
      </w:tr>
      <w:tr>
        <w:tc>
          <w:tcPr/>
          <w:p>
            <w:pPr>
              <w:pStyle w:val="Compact"/>
            </w:pPr>
            <w:r>
              <w:t xml:space="preserve">19</w:t>
            </w:r>
          </w:p>
        </w:tc>
        <w:tc>
          <w:tcPr/>
          <w:p>
            <w:pPr>
              <w:pStyle w:val="Compact"/>
            </w:pPr>
            <w:r>
              <w:t xml:space="preserve">24</w:t>
            </w:r>
          </w:p>
        </w:tc>
        <w:tc>
          <w:tcPr/>
          <w:p>
            <w:pPr>
              <w:pStyle w:val="Compact"/>
            </w:pPr>
            <w:r>
              <w:t xml:space="preserve">15</w:t>
            </w:r>
          </w:p>
        </w:tc>
        <w:tc>
          <w:tcPr/>
          <w:p>
            <w:pPr>
              <w:pStyle w:val="Compact"/>
            </w:pPr>
            <w:r>
              <w:t xml:space="preserve">0.62</w:t>
            </w:r>
          </w:p>
        </w:tc>
      </w:tr>
      <w:tr>
        <w:tc>
          <w:tcPr/>
          <w:p>
            <w:pPr>
              <w:pStyle w:val="Compact"/>
            </w:pPr>
            <w:r>
              <w:t xml:space="preserve">20</w:t>
            </w:r>
          </w:p>
        </w:tc>
        <w:tc>
          <w:tcPr/>
          <w:p>
            <w:pPr>
              <w:pStyle w:val="Compact"/>
            </w:pPr>
            <w:r>
              <w:t xml:space="preserve">24</w:t>
            </w:r>
          </w:p>
        </w:tc>
        <w:tc>
          <w:tcPr/>
          <w:p>
            <w:pPr>
              <w:pStyle w:val="Compact"/>
            </w:pPr>
            <w:r>
              <w:t xml:space="preserve">18</w:t>
            </w:r>
          </w:p>
        </w:tc>
        <w:tc>
          <w:tcPr/>
          <w:p>
            <w:pPr>
              <w:pStyle w:val="Compact"/>
            </w:pPr>
            <w:r>
              <w:t xml:space="preserve">0.75</w:t>
            </w:r>
          </w:p>
        </w:tc>
      </w:tr>
      <w:tr>
        <w:tc>
          <w:tcPr/>
          <w:p>
            <w:pPr>
              <w:pStyle w:val="Compact"/>
            </w:pPr>
            <w:r>
              <w:t xml:space="preserve">21</w:t>
            </w:r>
          </w:p>
        </w:tc>
        <w:tc>
          <w:tcPr/>
          <w:p>
            <w:pPr>
              <w:pStyle w:val="Compact"/>
            </w:pPr>
            <w:r>
              <w:t xml:space="preserve">20</w:t>
            </w:r>
          </w:p>
        </w:tc>
        <w:tc>
          <w:tcPr/>
          <w:p>
            <w:pPr>
              <w:pStyle w:val="Compact"/>
            </w:pPr>
            <w:r>
              <w:t xml:space="preserve">6</w:t>
            </w:r>
          </w:p>
        </w:tc>
        <w:tc>
          <w:tcPr/>
          <w:p>
            <w:pPr>
              <w:pStyle w:val="Compact"/>
            </w:pPr>
            <w:r>
              <w:t xml:space="preserve">0.30</w:t>
            </w:r>
          </w:p>
        </w:tc>
      </w:tr>
      <w:tr>
        <w:tc>
          <w:tcPr/>
          <w:p>
            <w:pPr>
              <w:pStyle w:val="Compact"/>
            </w:pPr>
            <w:r>
              <w:t xml:space="preserve">22</w:t>
            </w:r>
          </w:p>
        </w:tc>
        <w:tc>
          <w:tcPr/>
          <w:p>
            <w:pPr>
              <w:pStyle w:val="Compact"/>
            </w:pPr>
            <w:r>
              <w:t xml:space="preserve">16</w:t>
            </w:r>
          </w:p>
        </w:tc>
        <w:tc>
          <w:tcPr/>
          <w:p>
            <w:pPr>
              <w:pStyle w:val="Compact"/>
            </w:pPr>
            <w:r>
              <w:t xml:space="preserve">8</w:t>
            </w:r>
          </w:p>
        </w:tc>
        <w:tc>
          <w:tcPr/>
          <w:p>
            <w:pPr>
              <w:pStyle w:val="Compact"/>
            </w:pPr>
            <w:r>
              <w:t xml:space="preserve">0.50</w:t>
            </w:r>
          </w:p>
        </w:tc>
      </w:tr>
      <w:tr>
        <w:tc>
          <w:tcPr/>
          <w:p>
            <w:pPr>
              <w:pStyle w:val="Compact"/>
            </w:pPr>
            <w:r>
              <w:t xml:space="preserve">23</w:t>
            </w:r>
          </w:p>
        </w:tc>
        <w:tc>
          <w:tcPr/>
          <w:p>
            <w:pPr>
              <w:pStyle w:val="Compact"/>
            </w:pPr>
            <w:r>
              <w:t xml:space="preserve">22</w:t>
            </w:r>
          </w:p>
        </w:tc>
        <w:tc>
          <w:tcPr/>
          <w:p>
            <w:pPr>
              <w:pStyle w:val="Compact"/>
            </w:pPr>
            <w:r>
              <w:t xml:space="preserve">9</w:t>
            </w:r>
          </w:p>
        </w:tc>
        <w:tc>
          <w:tcPr/>
          <w:p>
            <w:pPr>
              <w:pStyle w:val="Compact"/>
            </w:pPr>
            <w:r>
              <w:t xml:space="preserve">0.41</w:t>
            </w:r>
          </w:p>
        </w:tc>
      </w:tr>
      <w:tr>
        <w:tc>
          <w:tcPr/>
          <w:p>
            <w:pPr>
              <w:pStyle w:val="Compact"/>
            </w:pPr>
            <w:r>
              <w:t xml:space="preserve">24</w:t>
            </w:r>
          </w:p>
        </w:tc>
        <w:tc>
          <w:tcPr/>
          <w:p>
            <w:pPr>
              <w:pStyle w:val="Compact"/>
            </w:pPr>
            <w:r>
              <w:t xml:space="preserve">22</w:t>
            </w:r>
          </w:p>
        </w:tc>
        <w:tc>
          <w:tcPr/>
          <w:p>
            <w:pPr>
              <w:pStyle w:val="Compact"/>
            </w:pPr>
            <w:r>
              <w:t xml:space="preserve">13</w:t>
            </w:r>
          </w:p>
        </w:tc>
        <w:tc>
          <w:tcPr/>
          <w:p>
            <w:pPr>
              <w:pStyle w:val="Compact"/>
            </w:pPr>
            <w:r>
              <w:t xml:space="preserve">0.59</w:t>
            </w:r>
          </w:p>
        </w:tc>
      </w:tr>
      <w:tr>
        <w:tc>
          <w:tcPr/>
          <w:p>
            <w:pPr>
              <w:pStyle w:val="Compact"/>
            </w:pPr>
            <w:r>
              <w:t xml:space="preserve">25</w:t>
            </w:r>
          </w:p>
        </w:tc>
        <w:tc>
          <w:tcPr/>
          <w:p>
            <w:pPr>
              <w:pStyle w:val="Compact"/>
            </w:pPr>
            <w:r>
              <w:t xml:space="preserve">13</w:t>
            </w:r>
          </w:p>
        </w:tc>
        <w:tc>
          <w:tcPr/>
          <w:p>
            <w:pPr>
              <w:pStyle w:val="Compact"/>
            </w:pPr>
            <w:r>
              <w:t xml:space="preserve">8</w:t>
            </w:r>
          </w:p>
        </w:tc>
        <w:tc>
          <w:tcPr/>
          <w:p>
            <w:pPr>
              <w:pStyle w:val="Compact"/>
            </w:pPr>
            <w:r>
              <w:t xml:space="preserve">0.62</w:t>
            </w:r>
          </w:p>
        </w:tc>
      </w:tr>
      <w:tr>
        <w:tc>
          <w:tcPr/>
          <w:p>
            <w:pPr>
              <w:pStyle w:val="Compact"/>
            </w:pPr>
            <w:r>
              <w:t xml:space="preserve">26</w:t>
            </w:r>
          </w:p>
        </w:tc>
        <w:tc>
          <w:tcPr/>
          <w:p>
            <w:pPr>
              <w:pStyle w:val="Compact"/>
            </w:pPr>
            <w:r>
              <w:t xml:space="preserve">22</w:t>
            </w:r>
          </w:p>
        </w:tc>
        <w:tc>
          <w:tcPr/>
          <w:p>
            <w:pPr>
              <w:pStyle w:val="Compact"/>
            </w:pPr>
            <w:r>
              <w:t xml:space="preserve">14</w:t>
            </w:r>
          </w:p>
        </w:tc>
        <w:tc>
          <w:tcPr/>
          <w:p>
            <w:pPr>
              <w:pStyle w:val="Compact"/>
            </w:pPr>
            <w:r>
              <w:t xml:space="preserve">0.64</w:t>
            </w:r>
          </w:p>
        </w:tc>
      </w:tr>
      <w:tr>
        <w:tc>
          <w:tcPr/>
          <w:p>
            <w:pPr>
              <w:pStyle w:val="Compact"/>
            </w:pPr>
            <w:r>
              <w:t xml:space="preserve">27</w:t>
            </w:r>
          </w:p>
        </w:tc>
        <w:tc>
          <w:tcPr/>
          <w:p>
            <w:pPr>
              <w:pStyle w:val="Compact"/>
            </w:pPr>
            <w:r>
              <w:t xml:space="preserve">3</w:t>
            </w:r>
          </w:p>
        </w:tc>
        <w:tc>
          <w:tcPr/>
          <w:p>
            <w:pPr>
              <w:pStyle w:val="Compact"/>
            </w:pPr>
            <w:r>
              <w:t xml:space="preserve">3</w:t>
            </w:r>
          </w:p>
        </w:tc>
        <w:tc>
          <w:tcPr/>
          <w:p>
            <w:pPr>
              <w:pStyle w:val="Compact"/>
            </w:pPr>
            <w:r>
              <w:t xml:space="preserve">1.00</w:t>
            </w:r>
          </w:p>
        </w:tc>
      </w:tr>
      <w:tr>
        <w:tc>
          <w:tcPr/>
          <w:p>
            <w:pPr>
              <w:pStyle w:val="Compact"/>
            </w:pPr>
            <w:r>
              <w:rPr>
                <w:b/>
                <w:bCs/>
              </w:rPr>
              <w:t xml:space="preserve">Total</w:t>
            </w:r>
          </w:p>
        </w:tc>
        <w:tc>
          <w:tcPr/>
          <w:p>
            <w:pPr>
              <w:pStyle w:val="Compact"/>
            </w:pPr>
            <w:r>
              <w:rPr>
                <w:b/>
                <w:bCs/>
              </w:rPr>
              <w:t xml:space="preserve">567</w:t>
            </w:r>
          </w:p>
        </w:tc>
        <w:tc>
          <w:tcPr/>
          <w:p>
            <w:pPr>
              <w:pStyle w:val="Compact"/>
            </w:pPr>
            <w:r>
              <w:rPr>
                <w:b/>
                <w:bCs/>
              </w:rPr>
              <w:t xml:space="preserve">521</w:t>
            </w:r>
          </w:p>
        </w:tc>
        <w:tc>
          <w:tcPr/>
          <w:p>
            <w:pPr>
              <w:pStyle w:val="Compact"/>
            </w:pPr>
            <w:r>
              <w:rPr>
                <w:b/>
                <w:bCs/>
              </w:rPr>
              <w:t xml:space="preserve">0.92</w:t>
            </w:r>
          </w:p>
        </w:tc>
      </w:tr>
    </w:tbl>
    <w:bookmarkEnd w:id="22"/>
    <w:bookmarkStart w:id="23" w:name="who-gets-accused-and-of-what"/>
    <w:p>
      <w:pPr>
        <w:pStyle w:val="Heading3"/>
      </w:pPr>
      <w:r>
        <w:t xml:space="preserve">4.2 Who gets accused, and of what</w:t>
      </w:r>
    </w:p>
    <w:p>
      <w:pPr>
        <w:pStyle w:val="FirstParagraph"/>
      </w:pPr>
      <w:r>
        <w:t xml:space="preserve">Innocence is rarely left ambiguous. Of the 521 persons, 429 (82.3%) are proven innocent on screen through DNA, a confession by the real perpetrator, or an explicit exoneration; 49 (9.4%) are strongly implied innocent; 43 (8.3%) are partially involved, guilty of some lesser wrong but innocent of the accusation. The show wants the audience to know these people did not do it.</w:t>
      </w:r>
    </w:p>
    <w:p>
      <w:pPr>
        <w:pStyle w:val="BodyText"/>
      </w:pPr>
      <w:r>
        <w:t xml:space="preserve">The accusation itself is usually rape (316 persons, 60.7%), followed by assault (65, 12.5%), child sexual abuse (45, 8.6%), and vaguely specified sex crimes (39, 7.5%), consistent with the unit’s jurisdiction. Structurally, the accused fall into two large groups: initial suspects, the first person the squad pursues (205, 39.3%), and red herrings written into the script to mislead the viewer (172, 33.0%). The two groups are treated differently by the narrative. Initial suspects carry a mean severity of 2.98 and reach severity 4 in 28.8% of cases; red herrings average 2.44 and reach severity 4 in 13.4%. Family members of victims or suspects (78, 15.0%) sit in between at a mean of 2.68, with colleagues (24), community members (19), and others (23) making up the remainder.</w:t>
      </w:r>
    </w:p>
    <w:p>
      <w:pPr>
        <w:pStyle w:val="BodyText"/>
      </w:pPr>
      <w:r>
        <w:t xml:space="preserve">The free-form tags sketch who these people are, with a caution: the tags are the coder’s own free vocabulary, unaudited, so the counts are indicative only. On that footing, 51 persons are tagged as teenagers, 40 are entangled in custody disputes, 28 are police officers, 22 are teachers, 13 are doctors, and 13 are immigrants: statuses in which accusation alone ends careers or triggers deportation machinery.</w:t>
      </w:r>
    </w:p>
    <w:bookmarkEnd w:id="23"/>
    <w:bookmarkStart w:id="24" w:name="severity"/>
    <w:p>
      <w:pPr>
        <w:pStyle w:val="Heading3"/>
      </w:pPr>
      <w:r>
        <w:t xml:space="preserve">4.3 Severity</w:t>
      </w:r>
    </w:p>
    <w:p>
      <w:pPr>
        <w:pStyle w:val="FirstParagraph"/>
      </w:pPr>
      <w:r>
        <w:t xml:space="preserve">Table 3 shows the distribution across the four-point scale, and the finding is its center of gravity: 325 of 521 persons (62.4%) land at severity 3 or 4, with a mean of 2.72 and a median of 3. Only 60 persons (11.5%) escape with private, low-level harm.</w:t>
      </w:r>
    </w:p>
    <w:p>
      <w:pPr>
        <w:pStyle w:val="BodyText"/>
      </w:pPr>
      <w:r>
        <w:rPr>
          <w:b/>
          <w:bCs/>
        </w:rPr>
        <w:t xml:space="preserve">Table 3. Consequence severity (n = 521 persons)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Severity</w:t>
            </w:r>
          </w:p>
        </w:tc>
        <w:tc>
          <w:tcPr/>
          <w:p>
            <w:pPr>
              <w:pStyle w:val="Compact"/>
            </w:pPr>
            <w:r>
              <w:t xml:space="preserve">Definition</w:t>
            </w:r>
          </w:p>
        </w:tc>
        <w:tc>
          <w:tcPr/>
          <w:p>
            <w:pPr>
              <w:pStyle w:val="Compact"/>
            </w:pPr>
            <w:r>
              <w:t xml:space="preserve">n</w:t>
            </w:r>
          </w:p>
        </w:tc>
        <w:tc>
          <w:tcPr/>
          <w:p>
            <w:pPr>
              <w:pStyle w:val="Compact"/>
            </w:pPr>
            <w:r>
              <w:t xml:space="preserve">%</w:t>
            </w:r>
          </w:p>
        </w:tc>
      </w:tr>
      <w:tr>
        <w:tc>
          <w:tcPr/>
          <w:p>
            <w:pPr>
              <w:pStyle w:val="Compact"/>
            </w:pPr>
            <w:r>
              <w:t xml:space="preserve">1</w:t>
            </w:r>
          </w:p>
        </w:tc>
        <w:tc>
          <w:tcPr/>
          <w:p>
            <w:pPr>
              <w:pStyle w:val="Compact"/>
            </w:pPr>
            <w:r>
              <w:t xml:space="preserve">Private or low-level harm</w:t>
            </w:r>
          </w:p>
        </w:tc>
        <w:tc>
          <w:tcPr/>
          <w:p>
            <w:pPr>
              <w:pStyle w:val="Compact"/>
            </w:pPr>
            <w:r>
              <w:t xml:space="preserve">60</w:t>
            </w:r>
          </w:p>
        </w:tc>
        <w:tc>
          <w:tcPr/>
          <w:p>
            <w:pPr>
              <w:pStyle w:val="Compact"/>
            </w:pPr>
            <w:r>
              <w:t xml:space="preserve">11.5%</w:t>
            </w:r>
          </w:p>
        </w:tc>
      </w:tr>
      <w:tr>
        <w:tc>
          <w:tcPr/>
          <w:p>
            <w:pPr>
              <w:pStyle w:val="Compact"/>
            </w:pPr>
            <w:r>
              <w:t xml:space="preserve">2</w:t>
            </w:r>
          </w:p>
        </w:tc>
        <w:tc>
          <w:tcPr/>
          <w:p>
            <w:pPr>
              <w:pStyle w:val="Compact"/>
            </w:pPr>
            <w:r>
              <w:t xml:space="preserve">Public exposure, no formal sanction</w:t>
            </w:r>
          </w:p>
        </w:tc>
        <w:tc>
          <w:tcPr/>
          <w:p>
            <w:pPr>
              <w:pStyle w:val="Compact"/>
            </w:pPr>
            <w:r>
              <w:t xml:space="preserve">136</w:t>
            </w:r>
          </w:p>
        </w:tc>
        <w:tc>
          <w:tcPr/>
          <w:p>
            <w:pPr>
              <w:pStyle w:val="Compact"/>
            </w:pPr>
            <w:r>
              <w:t xml:space="preserve">26.1%</w:t>
            </w:r>
          </w:p>
        </w:tc>
      </w:tr>
      <w:tr>
        <w:tc>
          <w:tcPr/>
          <w:p>
            <w:pPr>
              <w:pStyle w:val="Compact"/>
            </w:pPr>
            <w:r>
              <w:t xml:space="preserve">3</w:t>
            </w:r>
          </w:p>
        </w:tc>
        <w:tc>
          <w:tcPr/>
          <w:p>
            <w:pPr>
              <w:pStyle w:val="Compact"/>
            </w:pPr>
            <w:r>
              <w:t xml:space="preserve">Material sanction or serious fallout</w:t>
            </w:r>
          </w:p>
        </w:tc>
        <w:tc>
          <w:tcPr/>
          <w:p>
            <w:pPr>
              <w:pStyle w:val="Compact"/>
            </w:pPr>
            <w:r>
              <w:t xml:space="preserve">215</w:t>
            </w:r>
          </w:p>
        </w:tc>
        <w:tc>
          <w:tcPr/>
          <w:p>
            <w:pPr>
              <w:pStyle w:val="Compact"/>
            </w:pPr>
            <w:r>
              <w:t xml:space="preserve">41.3%</w:t>
            </w:r>
          </w:p>
        </w:tc>
      </w:tr>
      <w:tr>
        <w:tc>
          <w:tcPr/>
          <w:p>
            <w:pPr>
              <w:pStyle w:val="Compact"/>
            </w:pPr>
            <w:r>
              <w:t xml:space="preserve">4</w:t>
            </w:r>
          </w:p>
        </w:tc>
        <w:tc>
          <w:tcPr/>
          <w:p>
            <w:pPr>
              <w:pStyle w:val="Compact"/>
            </w:pPr>
            <w:r>
              <w:t xml:space="preserve">Life-altering outcome or death</w:t>
            </w:r>
          </w:p>
        </w:tc>
        <w:tc>
          <w:tcPr/>
          <w:p>
            <w:pPr>
              <w:pStyle w:val="Compact"/>
            </w:pPr>
            <w:r>
              <w:t xml:space="preserve">110</w:t>
            </w:r>
          </w:p>
        </w:tc>
        <w:tc>
          <w:tcPr/>
          <w:p>
            <w:pPr>
              <w:pStyle w:val="Compact"/>
            </w:pPr>
            <w:r>
              <w:t xml:space="preserve">21.1%</w:t>
            </w:r>
          </w:p>
        </w:tc>
      </w:tr>
    </w:tbl>
    <w:p>
      <w:pPr>
        <w:pStyle w:val="BodyText"/>
      </w:pPr>
      <w:r>
        <w:t xml:space="preserve">Most persons are hurt in more than one domain at once: 204 (39.2%) are coded into multiple consequence categories, with legal consequences alone accounting for a further 152 (29.2%), and social, work, physical, and family harm dividing the rest.</w:t>
      </w:r>
    </w:p>
    <w:bookmarkEnd w:id="24"/>
    <w:bookmarkStart w:id="25" w:name="where-accusations-come-from"/>
    <w:p>
      <w:pPr>
        <w:pStyle w:val="Heading3"/>
      </w:pPr>
      <w:r>
        <w:t xml:space="preserve">4.4 Where accusations come from</w:t>
      </w:r>
    </w:p>
    <w:p>
      <w:pPr>
        <w:pStyle w:val="FirstParagraph"/>
      </w:pPr>
      <w:r>
        <w:t xml:space="preserve">Table 4 reports the accusation origin, the controlled field recording who first pointed the finger, and its lead finding: the single largest source of false accusation, at 284 of 521 persons (54.5%), is squad inference, the detectives’ own theory, built from pattern-matching, proximity, or a prior record.</w:t>
      </w:r>
    </w:p>
    <w:p>
      <w:pPr>
        <w:pStyle w:val="BodyText"/>
      </w:pPr>
      <w:r>
        <w:rPr>
          <w:b/>
          <w:bCs/>
        </w:rPr>
        <w:t xml:space="preserve">Table 4. Accusation origin (n = 521 persons)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Origin</w:t>
            </w:r>
          </w:p>
        </w:tc>
        <w:tc>
          <w:tcPr/>
          <w:p>
            <w:pPr>
              <w:pStyle w:val="Compact"/>
            </w:pPr>
            <w:r>
              <w:t xml:space="preserve">n</w:t>
            </w:r>
          </w:p>
        </w:tc>
        <w:tc>
          <w:tcPr/>
          <w:p>
            <w:pPr>
              <w:pStyle w:val="Compact"/>
            </w:pPr>
            <w:r>
              <w:t xml:space="preserve">%</w:t>
            </w:r>
          </w:p>
        </w:tc>
        <w:tc>
          <w:tcPr/>
          <w:p>
            <w:pPr>
              <w:pStyle w:val="Compact"/>
            </w:pPr>
            <w:r>
              <w:t xml:space="preserve">Mean severity</w:t>
            </w:r>
          </w:p>
        </w:tc>
        <w:tc>
          <w:tcPr/>
          <w:p>
            <w:pPr>
              <w:pStyle w:val="Compact"/>
            </w:pPr>
            <w:r>
              <w:t xml:space="preserve">% severity 4</w:t>
            </w:r>
          </w:p>
        </w:tc>
      </w:tr>
      <w:tr>
        <w:tc>
          <w:tcPr/>
          <w:p>
            <w:pPr>
              <w:pStyle w:val="Compact"/>
            </w:pPr>
            <w:r>
              <w:t xml:space="preserve">Squad inference</w:t>
            </w:r>
          </w:p>
        </w:tc>
        <w:tc>
          <w:tcPr/>
          <w:p>
            <w:pPr>
              <w:pStyle w:val="Compact"/>
            </w:pPr>
            <w:r>
              <w:t xml:space="preserve">284</w:t>
            </w:r>
          </w:p>
        </w:tc>
        <w:tc>
          <w:tcPr/>
          <w:p>
            <w:pPr>
              <w:pStyle w:val="Compact"/>
            </w:pPr>
            <w:r>
              <w:t xml:space="preserve">54.5%</w:t>
            </w:r>
          </w:p>
        </w:tc>
        <w:tc>
          <w:tcPr/>
          <w:p>
            <w:pPr>
              <w:pStyle w:val="Compact"/>
            </w:pPr>
            <w:r>
              <w:t xml:space="preserve">2.50</w:t>
            </w:r>
          </w:p>
        </w:tc>
        <w:tc>
          <w:tcPr/>
          <w:p>
            <w:pPr>
              <w:pStyle w:val="Compact"/>
            </w:pPr>
            <w:r>
              <w:t xml:space="preserve">14.1%</w:t>
            </w:r>
          </w:p>
        </w:tc>
      </w:tr>
      <w:tr>
        <w:tc>
          <w:tcPr/>
          <w:p>
            <w:pPr>
              <w:pStyle w:val="Compact"/>
            </w:pPr>
            <w:r>
              <w:t xml:space="preserve">Victim identification</w:t>
            </w:r>
          </w:p>
        </w:tc>
        <w:tc>
          <w:tcPr/>
          <w:p>
            <w:pPr>
              <w:pStyle w:val="Compact"/>
            </w:pPr>
            <w:r>
              <w:t xml:space="preserve">94</w:t>
            </w:r>
          </w:p>
        </w:tc>
        <w:tc>
          <w:tcPr/>
          <w:p>
            <w:pPr>
              <w:pStyle w:val="Compact"/>
            </w:pPr>
            <w:r>
              <w:t xml:space="preserve">18.0%</w:t>
            </w:r>
          </w:p>
        </w:tc>
        <w:tc>
          <w:tcPr/>
          <w:p>
            <w:pPr>
              <w:pStyle w:val="Compact"/>
            </w:pPr>
            <w:r>
              <w:t xml:space="preserve">2.99</w:t>
            </w:r>
          </w:p>
        </w:tc>
        <w:tc>
          <w:tcPr/>
          <w:p>
            <w:pPr>
              <w:pStyle w:val="Compact"/>
            </w:pPr>
            <w:r>
              <w:t xml:space="preserve">25.5%</w:t>
            </w:r>
          </w:p>
        </w:tc>
      </w:tr>
      <w:tr>
        <w:tc>
          <w:tcPr/>
          <w:p>
            <w:pPr>
              <w:pStyle w:val="Compact"/>
            </w:pPr>
            <w:r>
              <w:t xml:space="preserve">Fabrication</w:t>
            </w:r>
          </w:p>
        </w:tc>
        <w:tc>
          <w:tcPr/>
          <w:p>
            <w:pPr>
              <w:pStyle w:val="Compact"/>
            </w:pPr>
            <w:r>
              <w:t xml:space="preserve">66</w:t>
            </w:r>
          </w:p>
        </w:tc>
        <w:tc>
          <w:tcPr/>
          <w:p>
            <w:pPr>
              <w:pStyle w:val="Compact"/>
            </w:pPr>
            <w:r>
              <w:t xml:space="preserve">12.7%</w:t>
            </w:r>
          </w:p>
        </w:tc>
        <w:tc>
          <w:tcPr/>
          <w:p>
            <w:pPr>
              <w:pStyle w:val="Compact"/>
            </w:pPr>
            <w:r>
              <w:t xml:space="preserve">3.24</w:t>
            </w:r>
          </w:p>
        </w:tc>
        <w:tc>
          <w:tcPr/>
          <w:p>
            <w:pPr>
              <w:pStyle w:val="Compact"/>
            </w:pPr>
            <w:r>
              <w:t xml:space="preserve">42.4%</w:t>
            </w:r>
          </w:p>
        </w:tc>
      </w:tr>
      <w:tr>
        <w:tc>
          <w:tcPr/>
          <w:p>
            <w:pPr>
              <w:pStyle w:val="Compact"/>
            </w:pPr>
            <w:r>
              <w:t xml:space="preserve">Witness misidentification</w:t>
            </w:r>
          </w:p>
        </w:tc>
        <w:tc>
          <w:tcPr/>
          <w:p>
            <w:pPr>
              <w:pStyle w:val="Compact"/>
            </w:pPr>
            <w:r>
              <w:t xml:space="preserve">39</w:t>
            </w:r>
          </w:p>
        </w:tc>
        <w:tc>
          <w:tcPr/>
          <w:p>
            <w:pPr>
              <w:pStyle w:val="Compact"/>
            </w:pPr>
            <w:r>
              <w:t xml:space="preserve">7.5%</w:t>
            </w:r>
          </w:p>
        </w:tc>
        <w:tc>
          <w:tcPr/>
          <w:p>
            <w:pPr>
              <w:pStyle w:val="Compact"/>
            </w:pPr>
            <w:r>
              <w:t xml:space="preserve">2.44</w:t>
            </w:r>
          </w:p>
        </w:tc>
        <w:tc>
          <w:tcPr/>
          <w:p>
            <w:pPr>
              <w:pStyle w:val="Compact"/>
            </w:pPr>
            <w:r>
              <w:t xml:space="preserve">7.7%</w:t>
            </w:r>
          </w:p>
        </w:tc>
      </w:tr>
      <w:tr>
        <w:tc>
          <w:tcPr/>
          <w:p>
            <w:pPr>
              <w:pStyle w:val="Compact"/>
            </w:pPr>
            <w:r>
              <w:t xml:space="preserve">Technical/database error</w:t>
            </w:r>
          </w:p>
        </w:tc>
        <w:tc>
          <w:tcPr/>
          <w:p>
            <w:pPr>
              <w:pStyle w:val="Compact"/>
            </w:pPr>
            <w:r>
              <w:t xml:space="preserve">25</w:t>
            </w:r>
          </w:p>
        </w:tc>
        <w:tc>
          <w:tcPr/>
          <w:p>
            <w:pPr>
              <w:pStyle w:val="Compact"/>
            </w:pPr>
            <w:r>
              <w:t xml:space="preserve">4.8%</w:t>
            </w:r>
          </w:p>
        </w:tc>
        <w:tc>
          <w:tcPr/>
          <w:p>
            <w:pPr>
              <w:pStyle w:val="Compact"/>
            </w:pPr>
            <w:r>
              <w:t xml:space="preserve">2.92</w:t>
            </w:r>
          </w:p>
        </w:tc>
        <w:tc>
          <w:tcPr/>
          <w:p>
            <w:pPr>
              <w:pStyle w:val="Compact"/>
            </w:pPr>
            <w:r>
              <w:t xml:space="preserve">32.0%</w:t>
            </w:r>
          </w:p>
        </w:tc>
      </w:tr>
      <w:tr>
        <w:tc>
          <w:tcPr/>
          <w:p>
            <w:pPr>
              <w:pStyle w:val="Compact"/>
            </w:pPr>
            <w:r>
              <w:t xml:space="preserve">Coerced interview</w:t>
            </w:r>
          </w:p>
        </w:tc>
        <w:tc>
          <w:tcPr/>
          <w:p>
            <w:pPr>
              <w:pStyle w:val="Compact"/>
            </w:pPr>
            <w:r>
              <w:t xml:space="preserve">12</w:t>
            </w:r>
          </w:p>
        </w:tc>
        <w:tc>
          <w:tcPr/>
          <w:p>
            <w:pPr>
              <w:pStyle w:val="Compact"/>
            </w:pPr>
            <w:r>
              <w:t xml:space="preserve">2.3%</w:t>
            </w:r>
          </w:p>
        </w:tc>
        <w:tc>
          <w:tcPr/>
          <w:p>
            <w:pPr>
              <w:pStyle w:val="Compact"/>
            </w:pPr>
            <w:r>
              <w:t xml:space="preserve">3.33</w:t>
            </w:r>
          </w:p>
        </w:tc>
        <w:tc>
          <w:tcPr/>
          <w:p>
            <w:pPr>
              <w:pStyle w:val="Compact"/>
            </w:pPr>
            <w:r>
              <w:t xml:space="preserve">50.0%</w:t>
            </w:r>
          </w:p>
        </w:tc>
      </w:tr>
      <w:tr>
        <w:tc>
          <w:tcPr/>
          <w:p>
            <w:pPr>
              <w:pStyle w:val="Compact"/>
            </w:pPr>
            <w:r>
              <w:t xml:space="preserve">Unknown</w:t>
            </w:r>
          </w:p>
        </w:tc>
        <w:tc>
          <w:tcPr/>
          <w:p>
            <w:pPr>
              <w:pStyle w:val="Compact"/>
            </w:pPr>
            <w:r>
              <w:t xml:space="preserve">1</w:t>
            </w:r>
          </w:p>
        </w:tc>
        <w:tc>
          <w:tcPr/>
          <w:p>
            <w:pPr>
              <w:pStyle w:val="Compact"/>
            </w:pPr>
            <w:r>
              <w:t xml:space="preserve">0.2%</w:t>
            </w:r>
          </w:p>
        </w:tc>
        <w:tc>
          <w:tcPr/>
          <w:p>
            <w:pPr>
              <w:pStyle w:val="Compact"/>
            </w:pPr>
            <w:r>
              <w:t xml:space="preserve">4.00</w:t>
            </w:r>
          </w:p>
        </w:tc>
        <w:tc>
          <w:tcPr/>
          <w:p>
            <w:pPr>
              <w:pStyle w:val="Compact"/>
            </w:pPr>
            <w:r>
              <w:t xml:space="preserve">100.0%</w:t>
            </w:r>
          </w:p>
        </w:tc>
      </w:tr>
    </w:tbl>
    <w:p>
      <w:pPr>
        <w:pStyle w:val="BodyText"/>
      </w:pPr>
      <w:r>
        <w:t xml:space="preserve">One reconciliation is needed, because the free-form tags look like a different story. The tag wrong_ID appears on 309 of the innocent records and could be misread as evidence that misidentification is the leading cause. It is a different measurement: the tag marks an episode outcome,</w:t>
      </w:r>
      <w:r>
        <w:t xml:space="preserve"> </w:t>
      </w:r>
      <w:r>
        <w:t xml:space="preserve">“the squad had the wrong person,”</w:t>
      </w:r>
      <w:r>
        <w:t xml:space="preserve"> </w:t>
      </w:r>
      <w:r>
        <w:t xml:space="preserve">and among the 309 tagged records the controlled origin field is squad inference in 185 (59.9%), victim identification in 67, and witness misidentification in only 29. The controlled field records who first pointed the finger, and on that field the squad’s own reasoning dominates.</w:t>
      </w:r>
    </w:p>
    <w:p>
      <w:pPr>
        <w:pStyle w:val="BodyText"/>
      </w:pPr>
      <w:r>
        <w:t xml:space="preserve">The severity columns of Table 4 carry a second finding. Fabrication and coerced interviews, the origins involving deliberate wrongdoing, produce the most catastrophic outcomes (42.4% and 50.0% severity 4, the latter on a small n of 12), while squad inference, the most common origin, produces the gentlest (14.1% severity 4, mean 2.50). I return to this asymmetry in Section 5.4.</w:t>
      </w:r>
    </w:p>
    <w:bookmarkEnd w:id="25"/>
    <w:bookmarkStart w:id="26" w:name="exposure-and-the-media-multiplier"/>
    <w:p>
      <w:pPr>
        <w:pStyle w:val="Heading3"/>
      </w:pPr>
      <w:r>
        <w:t xml:space="preserve">4.5 Exposure and the media multiplier</w:t>
      </w:r>
    </w:p>
    <w:p>
      <w:pPr>
        <w:pStyle w:val="FirstParagraph"/>
      </w:pPr>
      <w:r>
        <w:t xml:space="preserve">For 377 of 521 persons (72.4%), the accusation spreads beyond law enforcement. The two largest channels, workplace (143 persons, 27.4%) and police-only containment (142, 27.3%), are a single record apart, a difference on which nothing should be built; family (90, 17.3%) and media (86, 16.5%) follow, with the rest divided among schools, courts, churches, online, and multiple channels.</w:t>
      </w:r>
    </w:p>
    <w:p>
      <w:pPr>
        <w:pStyle w:val="BodyText"/>
      </w:pPr>
      <w:r>
        <w:t xml:space="preserve">Who spreads the word is less ambiguous. The squad is coded as the disclosing party for 454 of the 521 persons (87.1%), but that raw figure includes 136 cases that never left the precinct. The fairer version is conditional: among the 379 persons whose accusation traveled beyond the police, detectives are the ones who told the employer, confronted the person in public, or staged the arrest for an audience in 318 cases (83.9%), which is 61.0% of all persons in the dataset. Victims disclose in 4.8% of cases, and the media originate the exposure in only 3.3%.</w:t>
      </w:r>
    </w:p>
    <w:p>
      <w:pPr>
        <w:pStyle w:val="BodyText"/>
      </w:pPr>
      <w:r>
        <w:t xml:space="preserve">Where the exposure lands tracks how bad things get. Table 5 crosses channel with severity: cases contained to the police average 2.04, with 8.5% reaching severity 4, while media exposure averages 3.31, with 45.3% reaching severity 4, a 5.4-fold difference in catastrophic outcomes. The small legal-exposure category runs even higher (57.1% severity 4 on n = 14). A caution before reading this causally: channel and severity are co-authored by the same scripts, and an episode built as a catastrophe is also one likely to feature cameras, so narrative prominence confounds any claim that publicity produces the damage. What the table establishes is dramaturgical: the show pairs media exposure with catastrophe, consistently, across 27 seasons.</w:t>
      </w:r>
    </w:p>
    <w:p>
      <w:pPr>
        <w:pStyle w:val="BodyText"/>
      </w:pPr>
      <w:r>
        <w:rPr>
          <w:b/>
          <w:bCs/>
        </w:rPr>
        <w:t xml:space="preserve">Table 5. Severity by exposure channel (n = 521 persons)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Channel</w:t>
            </w:r>
          </w:p>
        </w:tc>
        <w:tc>
          <w:tcPr/>
          <w:p>
            <w:pPr>
              <w:pStyle w:val="Compact"/>
            </w:pPr>
            <w:r>
              <w:t xml:space="preserve">n</w:t>
            </w:r>
          </w:p>
        </w:tc>
        <w:tc>
          <w:tcPr/>
          <w:p>
            <w:pPr>
              <w:pStyle w:val="Compact"/>
            </w:pPr>
            <w:r>
              <w:t xml:space="preserve">% of persons</w:t>
            </w:r>
          </w:p>
        </w:tc>
        <w:tc>
          <w:tcPr/>
          <w:p>
            <w:pPr>
              <w:pStyle w:val="Compact"/>
            </w:pPr>
            <w:r>
              <w:t xml:space="preserve">Mean severity</w:t>
            </w:r>
          </w:p>
        </w:tc>
        <w:tc>
          <w:tcPr/>
          <w:p>
            <w:pPr>
              <w:pStyle w:val="Compact"/>
            </w:pPr>
            <w:r>
              <w:t xml:space="preserve">% severity 4</w:t>
            </w:r>
          </w:p>
        </w:tc>
      </w:tr>
      <w:tr>
        <w:tc>
          <w:tcPr/>
          <w:p>
            <w:pPr>
              <w:pStyle w:val="Compact"/>
            </w:pPr>
            <w:r>
              <w:t xml:space="preserve">Workplace</w:t>
            </w:r>
          </w:p>
        </w:tc>
        <w:tc>
          <w:tcPr/>
          <w:p>
            <w:pPr>
              <w:pStyle w:val="Compact"/>
            </w:pPr>
            <w:r>
              <w:t xml:space="preserve">143</w:t>
            </w:r>
          </w:p>
        </w:tc>
        <w:tc>
          <w:tcPr/>
          <w:p>
            <w:pPr>
              <w:pStyle w:val="Compact"/>
            </w:pPr>
            <w:r>
              <w:t xml:space="preserve">27.4%</w:t>
            </w:r>
          </w:p>
        </w:tc>
        <w:tc>
          <w:tcPr/>
          <w:p>
            <w:pPr>
              <w:pStyle w:val="Compact"/>
            </w:pPr>
            <w:r>
              <w:t xml:space="preserve">2.78</w:t>
            </w:r>
          </w:p>
        </w:tc>
        <w:tc>
          <w:tcPr/>
          <w:p>
            <w:pPr>
              <w:pStyle w:val="Compact"/>
            </w:pPr>
            <w:r>
              <w:t xml:space="preserve">15.4%</w:t>
            </w:r>
          </w:p>
        </w:tc>
      </w:tr>
      <w:tr>
        <w:tc>
          <w:tcPr/>
          <w:p>
            <w:pPr>
              <w:pStyle w:val="Compact"/>
            </w:pPr>
            <w:r>
              <w:t xml:space="preserve">Police only</w:t>
            </w:r>
          </w:p>
        </w:tc>
        <w:tc>
          <w:tcPr/>
          <w:p>
            <w:pPr>
              <w:pStyle w:val="Compact"/>
            </w:pPr>
            <w:r>
              <w:t xml:space="preserve">142</w:t>
            </w:r>
          </w:p>
        </w:tc>
        <w:tc>
          <w:tcPr/>
          <w:p>
            <w:pPr>
              <w:pStyle w:val="Compact"/>
            </w:pPr>
            <w:r>
              <w:t xml:space="preserve">27.3%</w:t>
            </w:r>
          </w:p>
        </w:tc>
        <w:tc>
          <w:tcPr/>
          <w:p>
            <w:pPr>
              <w:pStyle w:val="Compact"/>
            </w:pPr>
            <w:r>
              <w:t xml:space="preserve">2.04</w:t>
            </w:r>
          </w:p>
        </w:tc>
        <w:tc>
          <w:tcPr/>
          <w:p>
            <w:pPr>
              <w:pStyle w:val="Compact"/>
            </w:pPr>
            <w:r>
              <w:t xml:space="preserve">8.5%</w:t>
            </w:r>
          </w:p>
        </w:tc>
      </w:tr>
      <w:tr>
        <w:tc>
          <w:tcPr/>
          <w:p>
            <w:pPr>
              <w:pStyle w:val="Compact"/>
            </w:pPr>
            <w:r>
              <w:t xml:space="preserve">Family</w:t>
            </w:r>
          </w:p>
        </w:tc>
        <w:tc>
          <w:tcPr/>
          <w:p>
            <w:pPr>
              <w:pStyle w:val="Compact"/>
            </w:pPr>
            <w:r>
              <w:t xml:space="preserve">90</w:t>
            </w:r>
          </w:p>
        </w:tc>
        <w:tc>
          <w:tcPr/>
          <w:p>
            <w:pPr>
              <w:pStyle w:val="Compact"/>
            </w:pPr>
            <w:r>
              <w:t xml:space="preserve">17.3%</w:t>
            </w:r>
          </w:p>
        </w:tc>
        <w:tc>
          <w:tcPr/>
          <w:p>
            <w:pPr>
              <w:pStyle w:val="Compact"/>
            </w:pPr>
            <w:r>
              <w:t xml:space="preserve">2.84</w:t>
            </w:r>
          </w:p>
        </w:tc>
        <w:tc>
          <w:tcPr/>
          <w:p>
            <w:pPr>
              <w:pStyle w:val="Compact"/>
            </w:pPr>
            <w:r>
              <w:t xml:space="preserve">20.0%</w:t>
            </w:r>
          </w:p>
        </w:tc>
      </w:tr>
      <w:tr>
        <w:tc>
          <w:tcPr/>
          <w:p>
            <w:pPr>
              <w:pStyle w:val="Compact"/>
            </w:pPr>
            <w:r>
              <w:t xml:space="preserve">Media</w:t>
            </w:r>
          </w:p>
        </w:tc>
        <w:tc>
          <w:tcPr/>
          <w:p>
            <w:pPr>
              <w:pStyle w:val="Compact"/>
            </w:pPr>
            <w:r>
              <w:t xml:space="preserve">86</w:t>
            </w:r>
          </w:p>
        </w:tc>
        <w:tc>
          <w:tcPr/>
          <w:p>
            <w:pPr>
              <w:pStyle w:val="Compact"/>
            </w:pPr>
            <w:r>
              <w:t xml:space="preserve">16.5%</w:t>
            </w:r>
          </w:p>
        </w:tc>
        <w:tc>
          <w:tcPr/>
          <w:p>
            <w:pPr>
              <w:pStyle w:val="Compact"/>
            </w:pPr>
            <w:r>
              <w:t xml:space="preserve">3.31</w:t>
            </w:r>
          </w:p>
        </w:tc>
        <w:tc>
          <w:tcPr/>
          <w:p>
            <w:pPr>
              <w:pStyle w:val="Compact"/>
            </w:pPr>
            <w:r>
              <w:t xml:space="preserve">45.3%</w:t>
            </w:r>
          </w:p>
        </w:tc>
      </w:tr>
      <w:tr>
        <w:tc>
          <w:tcPr/>
          <w:p>
            <w:pPr>
              <w:pStyle w:val="Compact"/>
            </w:pPr>
            <w:r>
              <w:t xml:space="preserve">School</w:t>
            </w:r>
          </w:p>
        </w:tc>
        <w:tc>
          <w:tcPr/>
          <w:p>
            <w:pPr>
              <w:pStyle w:val="Compact"/>
            </w:pPr>
            <w:r>
              <w:t xml:space="preserve">20</w:t>
            </w:r>
          </w:p>
        </w:tc>
        <w:tc>
          <w:tcPr/>
          <w:p>
            <w:pPr>
              <w:pStyle w:val="Compact"/>
            </w:pPr>
            <w:r>
              <w:t xml:space="preserve">3.8%</w:t>
            </w:r>
          </w:p>
        </w:tc>
        <w:tc>
          <w:tcPr/>
          <w:p>
            <w:pPr>
              <w:pStyle w:val="Compact"/>
            </w:pPr>
            <w:r>
              <w:t xml:space="preserve">3.00</w:t>
            </w:r>
          </w:p>
        </w:tc>
        <w:tc>
          <w:tcPr/>
          <w:p>
            <w:pPr>
              <w:pStyle w:val="Compact"/>
            </w:pPr>
            <w:r>
              <w:t xml:space="preserve">20.0%</w:t>
            </w:r>
          </w:p>
        </w:tc>
      </w:tr>
      <w:tr>
        <w:tc>
          <w:tcPr/>
          <w:p>
            <w:pPr>
              <w:pStyle w:val="Compact"/>
            </w:pPr>
            <w:r>
              <w:t xml:space="preserve">Multiple</w:t>
            </w:r>
          </w:p>
        </w:tc>
        <w:tc>
          <w:tcPr/>
          <w:p>
            <w:pPr>
              <w:pStyle w:val="Compact"/>
            </w:pPr>
            <w:r>
              <w:t xml:space="preserve">18</w:t>
            </w:r>
          </w:p>
        </w:tc>
        <w:tc>
          <w:tcPr/>
          <w:p>
            <w:pPr>
              <w:pStyle w:val="Compact"/>
            </w:pPr>
            <w:r>
              <w:t xml:space="preserve">3.5%</w:t>
            </w:r>
          </w:p>
        </w:tc>
        <w:tc>
          <w:tcPr/>
          <w:p>
            <w:pPr>
              <w:pStyle w:val="Compact"/>
            </w:pPr>
            <w:r>
              <w:t xml:space="preserve">3.33</w:t>
            </w:r>
          </w:p>
        </w:tc>
        <w:tc>
          <w:tcPr/>
          <w:p>
            <w:pPr>
              <w:pStyle w:val="Compact"/>
            </w:pPr>
            <w:r>
              <w:t xml:space="preserve">33.3%</w:t>
            </w:r>
          </w:p>
        </w:tc>
      </w:tr>
      <w:tr>
        <w:tc>
          <w:tcPr/>
          <w:p>
            <w:pPr>
              <w:pStyle w:val="Compact"/>
            </w:pPr>
            <w:r>
              <w:t xml:space="preserve">Legal</w:t>
            </w:r>
          </w:p>
        </w:tc>
        <w:tc>
          <w:tcPr/>
          <w:p>
            <w:pPr>
              <w:pStyle w:val="Compact"/>
            </w:pPr>
            <w:r>
              <w:t xml:space="preserve">14</w:t>
            </w:r>
          </w:p>
        </w:tc>
        <w:tc>
          <w:tcPr/>
          <w:p>
            <w:pPr>
              <w:pStyle w:val="Compact"/>
            </w:pPr>
            <w:r>
              <w:t xml:space="preserve">2.7%</w:t>
            </w:r>
          </w:p>
        </w:tc>
        <w:tc>
          <w:tcPr/>
          <w:p>
            <w:pPr>
              <w:pStyle w:val="Compact"/>
            </w:pPr>
            <w:r>
              <w:t xml:space="preserve">3.57</w:t>
            </w:r>
          </w:p>
        </w:tc>
        <w:tc>
          <w:tcPr/>
          <w:p>
            <w:pPr>
              <w:pStyle w:val="Compact"/>
            </w:pPr>
            <w:r>
              <w:t xml:space="preserve">57.1%</w:t>
            </w:r>
          </w:p>
        </w:tc>
      </w:tr>
      <w:tr>
        <w:tc>
          <w:tcPr/>
          <w:p>
            <w:pPr>
              <w:pStyle w:val="Compact"/>
            </w:pPr>
            <w:r>
              <w:t xml:space="preserve">Church</w:t>
            </w:r>
          </w:p>
        </w:tc>
        <w:tc>
          <w:tcPr/>
          <w:p>
            <w:pPr>
              <w:pStyle w:val="Compact"/>
            </w:pPr>
            <w:r>
              <w:t xml:space="preserve">4</w:t>
            </w:r>
          </w:p>
        </w:tc>
        <w:tc>
          <w:tcPr/>
          <w:p>
            <w:pPr>
              <w:pStyle w:val="Compact"/>
            </w:pPr>
            <w:r>
              <w:t xml:space="preserve">0.8%</w:t>
            </w:r>
          </w:p>
        </w:tc>
        <w:tc>
          <w:tcPr/>
          <w:p>
            <w:pPr>
              <w:pStyle w:val="Compact"/>
            </w:pPr>
            <w:r>
              <w:t xml:space="preserve">2.75</w:t>
            </w:r>
          </w:p>
        </w:tc>
        <w:tc>
          <w:tcPr/>
          <w:p>
            <w:pPr>
              <w:pStyle w:val="Compact"/>
            </w:pPr>
            <w:r>
              <w:t xml:space="preserve">25.0%</w:t>
            </w:r>
          </w:p>
        </w:tc>
      </w:tr>
      <w:tr>
        <w:tc>
          <w:tcPr/>
          <w:p>
            <w:pPr>
              <w:pStyle w:val="Compact"/>
            </w:pPr>
            <w:r>
              <w:t xml:space="preserve">Online</w:t>
            </w:r>
          </w:p>
        </w:tc>
        <w:tc>
          <w:tcPr/>
          <w:p>
            <w:pPr>
              <w:pStyle w:val="Compact"/>
            </w:pPr>
            <w:r>
              <w:t xml:space="preserve">2</w:t>
            </w:r>
          </w:p>
        </w:tc>
        <w:tc>
          <w:tcPr/>
          <w:p>
            <w:pPr>
              <w:pStyle w:val="Compact"/>
            </w:pPr>
            <w:r>
              <w:t xml:space="preserve">0.4%</w:t>
            </w:r>
          </w:p>
        </w:tc>
        <w:tc>
          <w:tcPr/>
          <w:p>
            <w:pPr>
              <w:pStyle w:val="Compact"/>
            </w:pPr>
            <w:r>
              <w:t xml:space="preserve">3.00</w:t>
            </w:r>
          </w:p>
        </w:tc>
        <w:tc>
          <w:tcPr/>
          <w:p>
            <w:pPr>
              <w:pStyle w:val="Compact"/>
            </w:pPr>
            <w:r>
              <w:t xml:space="preserve">0.0%</w:t>
            </w:r>
          </w:p>
        </w:tc>
      </w:tr>
      <w:tr>
        <w:tc>
          <w:tcPr/>
          <w:p>
            <w:pPr>
              <w:pStyle w:val="Compact"/>
            </w:pPr>
            <w:r>
              <w:t xml:space="preserve">Unknown</w:t>
            </w:r>
          </w:p>
        </w:tc>
        <w:tc>
          <w:tcPr/>
          <w:p>
            <w:pPr>
              <w:pStyle w:val="Compact"/>
            </w:pPr>
            <w:r>
              <w:t xml:space="preserve">2</w:t>
            </w:r>
          </w:p>
        </w:tc>
        <w:tc>
          <w:tcPr/>
          <w:p>
            <w:pPr>
              <w:pStyle w:val="Compact"/>
            </w:pPr>
            <w:r>
              <w:t xml:space="preserve">0.4%</w:t>
            </w:r>
          </w:p>
        </w:tc>
        <w:tc>
          <w:tcPr/>
          <w:p>
            <w:pPr>
              <w:pStyle w:val="Compact"/>
            </w:pPr>
            <w:r>
              <w:t xml:space="preserve">1.00</w:t>
            </w:r>
          </w:p>
        </w:tc>
        <w:tc>
          <w:tcPr/>
          <w:p>
            <w:pPr>
              <w:pStyle w:val="Compact"/>
            </w:pPr>
            <w:r>
              <w:t xml:space="preserve">0.0%</w:t>
            </w:r>
          </w:p>
        </w:tc>
      </w:tr>
    </w:tbl>
    <w:p>
      <w:pPr>
        <w:pStyle w:val="BodyText"/>
      </w:pPr>
      <w:r>
        <w:t xml:space="preserve">Read together, the two findings are damning on the show’s own terms: publicity accompanies the worst outcomes, and in 83.9% of the cases where word spreads, the squad is the one spreading it.</w:t>
      </w:r>
    </w:p>
    <w:bookmarkEnd w:id="26"/>
    <w:bookmarkStart w:id="27" w:name="how-detectives-treat-the-innocent"/>
    <w:p>
      <w:pPr>
        <w:pStyle w:val="Heading3"/>
      </w:pPr>
      <w:r>
        <w:t xml:space="preserve">4.6 How detectives treat the innocent</w:t>
      </w:r>
    </w:p>
    <w:p>
      <w:pPr>
        <w:pStyle w:val="FirstParagraph"/>
      </w:pPr>
      <w:r>
        <w:t xml:space="preserve">Just over half of the innocent persons in the dataset, 276 of 521 (53.0%), are threatened, coerced, or degraded by detectives at some point in their episode. Table 6 gives the breakdown; verbal threats lead, with coercive tactics such as fabricated evidence claims and false promises close behind.</w:t>
      </w:r>
    </w:p>
    <w:p>
      <w:pPr>
        <w:pStyle w:val="BodyText"/>
      </w:pPr>
      <w:r>
        <w:rPr>
          <w:b/>
          <w:bCs/>
        </w:rPr>
        <w:t xml:space="preserve">Table 6. Police conduct toward the innocent person (n = 521)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Conduct</w:t>
            </w:r>
          </w:p>
        </w:tc>
        <w:tc>
          <w:tcPr/>
          <w:p>
            <w:pPr>
              <w:pStyle w:val="Compact"/>
            </w:pPr>
            <w:r>
              <w:t xml:space="preserve">n</w:t>
            </w:r>
          </w:p>
        </w:tc>
        <w:tc>
          <w:tcPr/>
          <w:p>
            <w:pPr>
              <w:pStyle w:val="Compact"/>
            </w:pPr>
            <w:r>
              <w:t xml:space="preserve">%</w:t>
            </w:r>
          </w:p>
        </w:tc>
      </w:tr>
      <w:tr>
        <w:tc>
          <w:tcPr/>
          <w:p>
            <w:pPr>
              <w:pStyle w:val="Compact"/>
            </w:pPr>
            <w:r>
              <w:t xml:space="preserve">None documented</w:t>
            </w:r>
          </w:p>
        </w:tc>
        <w:tc>
          <w:tcPr/>
          <w:p>
            <w:pPr>
              <w:pStyle w:val="Compact"/>
            </w:pPr>
            <w:r>
              <w:t xml:space="preserve">245</w:t>
            </w:r>
          </w:p>
        </w:tc>
        <w:tc>
          <w:tcPr/>
          <w:p>
            <w:pPr>
              <w:pStyle w:val="Compact"/>
            </w:pPr>
            <w:r>
              <w:t xml:space="preserve">47.0%</w:t>
            </w:r>
          </w:p>
        </w:tc>
      </w:tr>
      <w:tr>
        <w:tc>
          <w:tcPr/>
          <w:p>
            <w:pPr>
              <w:pStyle w:val="Compact"/>
            </w:pPr>
            <w:r>
              <w:t xml:space="preserve">Verbal threat</w:t>
            </w:r>
          </w:p>
        </w:tc>
        <w:tc>
          <w:tcPr/>
          <w:p>
            <w:pPr>
              <w:pStyle w:val="Compact"/>
            </w:pPr>
            <w:r>
              <w:t xml:space="preserve">108</w:t>
            </w:r>
          </w:p>
        </w:tc>
        <w:tc>
          <w:tcPr/>
          <w:p>
            <w:pPr>
              <w:pStyle w:val="Compact"/>
            </w:pPr>
            <w:r>
              <w:t xml:space="preserve">20.7%</w:t>
            </w:r>
          </w:p>
        </w:tc>
      </w:tr>
      <w:tr>
        <w:tc>
          <w:tcPr/>
          <w:p>
            <w:pPr>
              <w:pStyle w:val="Compact"/>
            </w:pPr>
            <w:r>
              <w:t xml:space="preserve">Coercive tactic</w:t>
            </w:r>
          </w:p>
        </w:tc>
        <w:tc>
          <w:tcPr/>
          <w:p>
            <w:pPr>
              <w:pStyle w:val="Compact"/>
            </w:pPr>
            <w:r>
              <w:t xml:space="preserve">68</w:t>
            </w:r>
          </w:p>
        </w:tc>
        <w:tc>
          <w:tcPr/>
          <w:p>
            <w:pPr>
              <w:pStyle w:val="Compact"/>
            </w:pPr>
            <w:r>
              <w:t xml:space="preserve">13.1%</w:t>
            </w:r>
          </w:p>
        </w:tc>
      </w:tr>
      <w:tr>
        <w:tc>
          <w:tcPr/>
          <w:p>
            <w:pPr>
              <w:pStyle w:val="Compact"/>
            </w:pPr>
            <w:r>
              <w:t xml:space="preserve">Multiple types</w:t>
            </w:r>
          </w:p>
        </w:tc>
        <w:tc>
          <w:tcPr/>
          <w:p>
            <w:pPr>
              <w:pStyle w:val="Compact"/>
            </w:pPr>
            <w:r>
              <w:t xml:space="preserve">55</w:t>
            </w:r>
          </w:p>
        </w:tc>
        <w:tc>
          <w:tcPr/>
          <w:p>
            <w:pPr>
              <w:pStyle w:val="Compact"/>
            </w:pPr>
            <w:r>
              <w:t xml:space="preserve">10.6%</w:t>
            </w:r>
          </w:p>
        </w:tc>
      </w:tr>
      <w:tr>
        <w:tc>
          <w:tcPr/>
          <w:p>
            <w:pPr>
              <w:pStyle w:val="Compact"/>
            </w:pPr>
            <w:r>
              <w:t xml:space="preserve">Insult or degradation</w:t>
            </w:r>
          </w:p>
        </w:tc>
        <w:tc>
          <w:tcPr/>
          <w:p>
            <w:pPr>
              <w:pStyle w:val="Compact"/>
            </w:pPr>
            <w:r>
              <w:t xml:space="preserve">45</w:t>
            </w:r>
          </w:p>
        </w:tc>
        <w:tc>
          <w:tcPr/>
          <w:p>
            <w:pPr>
              <w:pStyle w:val="Compact"/>
            </w:pPr>
            <w:r>
              <w:t xml:space="preserve">8.6%</w:t>
            </w:r>
          </w:p>
        </w:tc>
      </w:tr>
      <w:tr>
        <w:tc>
          <w:tcPr/>
          <w:p>
            <w:pPr>
              <w:pStyle w:val="Compact"/>
            </w:pPr>
            <w:r>
              <w:rPr>
                <w:b/>
                <w:bCs/>
              </w:rPr>
              <w:t xml:space="preserve">Any threat, coercion, or degradation</w:t>
            </w:r>
          </w:p>
        </w:tc>
        <w:tc>
          <w:tcPr/>
          <w:p>
            <w:pPr>
              <w:pStyle w:val="Compact"/>
            </w:pPr>
            <w:r>
              <w:rPr>
                <w:b/>
                <w:bCs/>
              </w:rPr>
              <w:t xml:space="preserve">276</w:t>
            </w:r>
          </w:p>
        </w:tc>
        <w:tc>
          <w:tcPr/>
          <w:p>
            <w:pPr>
              <w:pStyle w:val="Compact"/>
            </w:pPr>
            <w:r>
              <w:rPr>
                <w:b/>
                <w:bCs/>
              </w:rPr>
              <w:t xml:space="preserve">53.0%</w:t>
            </w:r>
          </w:p>
        </w:tc>
      </w:tr>
    </w:tbl>
    <w:p>
      <w:pPr>
        <w:pStyle w:val="BodyText"/>
      </w:pPr>
      <w:r>
        <w:t xml:space="preserve">Two scenes, a quarter century apart, put flesh on those categories. In S01E12, detectives threaten a sex worker named Katya Ivanova with deportation:</w:t>
      </w:r>
      <w:r>
        <w:t xml:space="preserve"> </w:t>
      </w:r>
      <w:r>
        <w:t xml:space="preserve">“we know you’re illegal… if you’re not at our office by 9:00 a.m., Immigration will be at your house by 9:05. That I can personally guarantee you.”</w:t>
      </w:r>
      <w:r>
        <w:t xml:space="preserve"> </w:t>
      </w:r>
      <w:r>
        <w:t xml:space="preserve">Twenty seasons later, in S21E06, Carlos Hernandez describes the interrogation that took 16 years of his life:</w:t>
      </w:r>
      <w:r>
        <w:t xml:space="preserve"> </w:t>
      </w:r>
      <w:r>
        <w:t xml:space="preserve">“Because Monte and the DA told me if I didn’t confess, that I’d get the sayonara syringe. Man, I was 18. I didn’t have no mommy no more to help me.”</w:t>
      </w:r>
    </w:p>
    <w:p>
      <w:pPr>
        <w:pStyle w:val="BodyText"/>
      </w:pPr>
      <w:r>
        <w:t xml:space="preserve">The dataset does not distinguish beloved series regulars from one-episode bad cops; what it records is that the person on the receiving end was innocent, and that this happens in more than half of all qualifying cases.</w:t>
      </w:r>
    </w:p>
    <w:bookmarkEnd w:id="27"/>
    <w:bookmarkStart w:id="28" w:name="the-apology-gradient"/>
    <w:p>
      <w:pPr>
        <w:pStyle w:val="Heading3"/>
      </w:pPr>
      <w:r>
        <w:t xml:space="preserve">4.7 The apology gradient</w:t>
      </w:r>
    </w:p>
    <w:p>
      <w:pPr>
        <w:pStyle w:val="FirstParagraph"/>
      </w:pPr>
      <w:r>
        <w:t xml:space="preserve">Acknowledgment is where the numbers get quiet. Across 521 innocent persons, detectives offer no apology at all in 480 cases (92.1%). Partial apologies, softened language without responsibility, occur 31 times (6.0%). Formal on-screen acknowledgment of the wrongful accusation occurs 8 times: 1.5% of cases, spread over 27 seasons (Table 7). The coding originally showed nine formal-apology rows, with Stephanie Mulroney apparently apologized to in two consecutive episodes. The audit dissolved the oddity: the S01E13 cell contains S01E15’s script, so the one apology in</w:t>
      </w:r>
      <w:r>
        <w:t xml:space="preserve"> </w:t>
      </w:r>
      <w:r>
        <w:t xml:space="preserve">“Entitled”</w:t>
      </w:r>
      <w:r>
        <w:t xml:space="preserve"> </w:t>
      </w:r>
      <w:r>
        <w:t xml:space="preserve">had been coded twice.</w:t>
      </w:r>
    </w:p>
    <w:p>
      <w:pPr>
        <w:pStyle w:val="BodyText"/>
      </w:pPr>
      <w:r>
        <w:rPr>
          <w:b/>
          <w:bCs/>
        </w:rPr>
        <w:t xml:space="preserve">Table 7. Police apology (n = 521 persons)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Apology</w:t>
            </w:r>
          </w:p>
        </w:tc>
        <w:tc>
          <w:tcPr/>
          <w:p>
            <w:pPr>
              <w:pStyle w:val="Compact"/>
            </w:pPr>
            <w:r>
              <w:t xml:space="preserve">n</w:t>
            </w:r>
          </w:p>
        </w:tc>
        <w:tc>
          <w:tcPr/>
          <w:p>
            <w:pPr>
              <w:pStyle w:val="Compact"/>
            </w:pPr>
            <w:r>
              <w:t xml:space="preserve">%</w:t>
            </w:r>
          </w:p>
        </w:tc>
      </w:tr>
      <w:tr>
        <w:tc>
          <w:tcPr/>
          <w:p>
            <w:pPr>
              <w:pStyle w:val="Compact"/>
            </w:pPr>
            <w:r>
              <w:t xml:space="preserve">None</w:t>
            </w:r>
          </w:p>
        </w:tc>
        <w:tc>
          <w:tcPr/>
          <w:p>
            <w:pPr>
              <w:pStyle w:val="Compact"/>
            </w:pPr>
            <w:r>
              <w:t xml:space="preserve">480</w:t>
            </w:r>
          </w:p>
        </w:tc>
        <w:tc>
          <w:tcPr/>
          <w:p>
            <w:pPr>
              <w:pStyle w:val="Compact"/>
            </w:pPr>
            <w:r>
              <w:t xml:space="preserve">92.1%</w:t>
            </w:r>
          </w:p>
        </w:tc>
      </w:tr>
      <w:tr>
        <w:tc>
          <w:tcPr/>
          <w:p>
            <w:pPr>
              <w:pStyle w:val="Compact"/>
            </w:pPr>
            <w:r>
              <w:t xml:space="preserve">Partial</w:t>
            </w:r>
          </w:p>
        </w:tc>
        <w:tc>
          <w:tcPr/>
          <w:p>
            <w:pPr>
              <w:pStyle w:val="Compact"/>
            </w:pPr>
            <w:r>
              <w:t xml:space="preserve">31</w:t>
            </w:r>
          </w:p>
        </w:tc>
        <w:tc>
          <w:tcPr/>
          <w:p>
            <w:pPr>
              <w:pStyle w:val="Compact"/>
            </w:pPr>
            <w:r>
              <w:t xml:space="preserve">6.0%</w:t>
            </w:r>
          </w:p>
        </w:tc>
      </w:tr>
      <w:tr>
        <w:tc>
          <w:tcPr/>
          <w:p>
            <w:pPr>
              <w:pStyle w:val="Compact"/>
            </w:pPr>
            <w:r>
              <w:t xml:space="preserve">Formal</w:t>
            </w:r>
          </w:p>
        </w:tc>
        <w:tc>
          <w:tcPr/>
          <w:p>
            <w:pPr>
              <w:pStyle w:val="Compact"/>
            </w:pPr>
            <w:r>
              <w:t xml:space="preserve">8</w:t>
            </w:r>
          </w:p>
        </w:tc>
        <w:tc>
          <w:tcPr/>
          <w:p>
            <w:pPr>
              <w:pStyle w:val="Compact"/>
            </w:pPr>
            <w:r>
              <w:t xml:space="preserve">1.5%</w:t>
            </w:r>
          </w:p>
        </w:tc>
      </w:tr>
      <w:tr>
        <w:tc>
          <w:tcPr/>
          <w:p>
            <w:pPr>
              <w:pStyle w:val="Compact"/>
            </w:pPr>
            <w:r>
              <w:t xml:space="preserve">Unknown</w:t>
            </w:r>
          </w:p>
        </w:tc>
        <w:tc>
          <w:tcPr/>
          <w:p>
            <w:pPr>
              <w:pStyle w:val="Compact"/>
            </w:pPr>
            <w:r>
              <w:t xml:space="preserve">2</w:t>
            </w:r>
          </w:p>
        </w:tc>
        <w:tc>
          <w:tcPr/>
          <w:p>
            <w:pPr>
              <w:pStyle w:val="Compact"/>
            </w:pPr>
            <w:r>
              <w:t xml:space="preserve">0.4%</w:t>
            </w:r>
          </w:p>
        </w:tc>
      </w:tr>
      <w:tr>
        <w:tc>
          <w:tcPr/>
          <w:p>
            <w:pPr>
              <w:pStyle w:val="Compact"/>
            </w:pPr>
            <w:r>
              <w:rPr>
                <w:b/>
                <w:bCs/>
              </w:rPr>
              <w:t xml:space="preserve">Any apology (partial + formal)</w:t>
            </w:r>
          </w:p>
        </w:tc>
        <w:tc>
          <w:tcPr/>
          <w:p>
            <w:pPr>
              <w:pStyle w:val="Compact"/>
            </w:pPr>
            <w:r>
              <w:rPr>
                <w:b/>
                <w:bCs/>
              </w:rPr>
              <w:t xml:space="preserve">39</w:t>
            </w:r>
          </w:p>
        </w:tc>
        <w:tc>
          <w:tcPr/>
          <w:p>
            <w:pPr>
              <w:pStyle w:val="Compact"/>
            </w:pPr>
            <w:r>
              <w:rPr>
                <w:b/>
                <w:bCs/>
              </w:rPr>
              <w:t xml:space="preserve">7.5%</w:t>
            </w:r>
          </w:p>
        </w:tc>
      </w:tr>
    </w:tbl>
    <w:p>
      <w:pPr>
        <w:pStyle w:val="BodyText"/>
      </w:pPr>
      <w:r>
        <w:t xml:space="preserve">Who gets the 39 apologies is more revealing than how few there are. Table 8 shows the severity gradient: none of the 60 severity-1 persons receives even a partial apology; severity-2 and severity-3 persons receive one 6.6% and 5.6% of the time; severity-4 persons, the destroyed and the dead, receive one 16.4% of the time, and five of the eight formal apologies belong to them. Misconduct, by contrast, moves the rate by nothing measurable: persons who were threatened or coerced are apologized to at 8.0%, persons who were treated correctly at 6.9%. Apology in this fiction tracks catastrophe, never conduct. Detectives say sorry when someone is ruined or dead, at odds of about one in six; they do not say sorry because of anything they themselves did.</w:t>
      </w:r>
    </w:p>
    <w:p>
      <w:pPr>
        <w:pStyle w:val="BodyText"/>
      </w:pPr>
      <w:r>
        <w:rPr>
          <w:b/>
          <w:bCs/>
        </w:rPr>
        <w:t xml:space="preserve">Table 8. Apology by severity and by police conduct (n = 521 persons)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w:t>
            </w:r>
          </w:p>
        </w:tc>
        <w:tc>
          <w:tcPr/>
          <w:p>
            <w:pPr>
              <w:pStyle w:val="Compact"/>
            </w:pPr>
            <w:r>
              <w:t xml:space="preserve">n</w:t>
            </w:r>
          </w:p>
        </w:tc>
        <w:tc>
          <w:tcPr/>
          <w:p>
            <w:pPr>
              <w:pStyle w:val="Compact"/>
            </w:pPr>
            <w:r>
              <w:t xml:space="preserve">Any apology</w:t>
            </w:r>
          </w:p>
        </w:tc>
        <w:tc>
          <w:tcPr/>
          <w:p>
            <w:pPr>
              <w:pStyle w:val="Compact"/>
            </w:pPr>
            <w:r>
              <w:t xml:space="preserve">Rate</w:t>
            </w:r>
          </w:p>
        </w:tc>
        <w:tc>
          <w:tcPr/>
          <w:p>
            <w:pPr>
              <w:pStyle w:val="Compact"/>
            </w:pPr>
            <w:r>
              <w:t xml:space="preserve">Formal</w:t>
            </w:r>
          </w:p>
        </w:tc>
      </w:tr>
      <w:tr>
        <w:tc>
          <w:tcPr/>
          <w:p>
            <w:pPr>
              <w:pStyle w:val="Compact"/>
            </w:pPr>
            <w:r>
              <w:t xml:space="preserve">Severity 1</w:t>
            </w:r>
          </w:p>
        </w:tc>
        <w:tc>
          <w:tcPr/>
          <w:p>
            <w:pPr>
              <w:pStyle w:val="Compact"/>
            </w:pPr>
            <w:r>
              <w:t xml:space="preserve">60</w:t>
            </w:r>
          </w:p>
        </w:tc>
        <w:tc>
          <w:tcPr/>
          <w:p>
            <w:pPr>
              <w:pStyle w:val="Compact"/>
            </w:pPr>
            <w:r>
              <w:t xml:space="preserve">0</w:t>
            </w:r>
          </w:p>
        </w:tc>
        <w:tc>
          <w:tcPr/>
          <w:p>
            <w:pPr>
              <w:pStyle w:val="Compact"/>
            </w:pPr>
            <w:r>
              <w:t xml:space="preserve">0.0%</w:t>
            </w:r>
          </w:p>
        </w:tc>
        <w:tc>
          <w:tcPr/>
          <w:p>
            <w:pPr>
              <w:pStyle w:val="Compact"/>
            </w:pPr>
            <w:r>
              <w:t xml:space="preserve">0</w:t>
            </w:r>
          </w:p>
        </w:tc>
      </w:tr>
      <w:tr>
        <w:tc>
          <w:tcPr/>
          <w:p>
            <w:pPr>
              <w:pStyle w:val="Compact"/>
            </w:pPr>
            <w:r>
              <w:t xml:space="preserve">Severity 2</w:t>
            </w:r>
          </w:p>
        </w:tc>
        <w:tc>
          <w:tcPr/>
          <w:p>
            <w:pPr>
              <w:pStyle w:val="Compact"/>
            </w:pPr>
            <w:r>
              <w:t xml:space="preserve">136</w:t>
            </w:r>
          </w:p>
        </w:tc>
        <w:tc>
          <w:tcPr/>
          <w:p>
            <w:pPr>
              <w:pStyle w:val="Compact"/>
            </w:pPr>
            <w:r>
              <w:t xml:space="preserve">9</w:t>
            </w:r>
          </w:p>
        </w:tc>
        <w:tc>
          <w:tcPr/>
          <w:p>
            <w:pPr>
              <w:pStyle w:val="Compact"/>
            </w:pPr>
            <w:r>
              <w:t xml:space="preserve">6.6%</w:t>
            </w:r>
          </w:p>
        </w:tc>
        <w:tc>
          <w:tcPr/>
          <w:p>
            <w:pPr>
              <w:pStyle w:val="Compact"/>
            </w:pPr>
            <w:r>
              <w:t xml:space="preserve">2</w:t>
            </w:r>
          </w:p>
        </w:tc>
      </w:tr>
      <w:tr>
        <w:tc>
          <w:tcPr/>
          <w:p>
            <w:pPr>
              <w:pStyle w:val="Compact"/>
            </w:pPr>
            <w:r>
              <w:t xml:space="preserve">Severity 3</w:t>
            </w:r>
          </w:p>
        </w:tc>
        <w:tc>
          <w:tcPr/>
          <w:p>
            <w:pPr>
              <w:pStyle w:val="Compact"/>
            </w:pPr>
            <w:r>
              <w:t xml:space="preserve">215</w:t>
            </w:r>
          </w:p>
        </w:tc>
        <w:tc>
          <w:tcPr/>
          <w:p>
            <w:pPr>
              <w:pStyle w:val="Compact"/>
            </w:pPr>
            <w:r>
              <w:t xml:space="preserve">12</w:t>
            </w:r>
          </w:p>
        </w:tc>
        <w:tc>
          <w:tcPr/>
          <w:p>
            <w:pPr>
              <w:pStyle w:val="Compact"/>
            </w:pPr>
            <w:r>
              <w:t xml:space="preserve">5.6%</w:t>
            </w:r>
          </w:p>
        </w:tc>
        <w:tc>
          <w:tcPr/>
          <w:p>
            <w:pPr>
              <w:pStyle w:val="Compact"/>
            </w:pPr>
            <w:r>
              <w:t xml:space="preserve">1</w:t>
            </w:r>
          </w:p>
        </w:tc>
      </w:tr>
      <w:tr>
        <w:tc>
          <w:tcPr/>
          <w:p>
            <w:pPr>
              <w:pStyle w:val="Compact"/>
            </w:pPr>
            <w:r>
              <w:t xml:space="preserve">Severity 4</w:t>
            </w:r>
          </w:p>
        </w:tc>
        <w:tc>
          <w:tcPr/>
          <w:p>
            <w:pPr>
              <w:pStyle w:val="Compact"/>
            </w:pPr>
            <w:r>
              <w:t xml:space="preserve">110</w:t>
            </w:r>
          </w:p>
        </w:tc>
        <w:tc>
          <w:tcPr/>
          <w:p>
            <w:pPr>
              <w:pStyle w:val="Compact"/>
            </w:pPr>
            <w:r>
              <w:t xml:space="preserve">18</w:t>
            </w:r>
          </w:p>
        </w:tc>
        <w:tc>
          <w:tcPr/>
          <w:p>
            <w:pPr>
              <w:pStyle w:val="Compact"/>
            </w:pPr>
            <w:r>
              <w:t xml:space="preserve">16.4%</w:t>
            </w:r>
          </w:p>
        </w:tc>
        <w:tc>
          <w:tcPr/>
          <w:p>
            <w:pPr>
              <w:pStyle w:val="Compact"/>
            </w:pPr>
            <w:r>
              <w:t xml:space="preserve">5</w:t>
            </w:r>
          </w:p>
        </w:tc>
      </w:tr>
      <w:tr>
        <w:tc>
          <w:tcPr/>
          <w:p>
            <w:pPr>
              <w:pStyle w:val="Compact"/>
            </w:pPr>
            <w:r>
              <w:t xml:space="preserve">Threatened or coerced</w:t>
            </w:r>
          </w:p>
        </w:tc>
        <w:tc>
          <w:tcPr/>
          <w:p>
            <w:pPr>
              <w:pStyle w:val="Compact"/>
            </w:pPr>
            <w:r>
              <w:t xml:space="preserve">276</w:t>
            </w:r>
          </w:p>
        </w:tc>
        <w:tc>
          <w:tcPr/>
          <w:p>
            <w:pPr>
              <w:pStyle w:val="Compact"/>
            </w:pPr>
            <w:r>
              <w:t xml:space="preserve">22</w:t>
            </w:r>
          </w:p>
        </w:tc>
        <w:tc>
          <w:tcPr/>
          <w:p>
            <w:pPr>
              <w:pStyle w:val="Compact"/>
            </w:pPr>
            <w:r>
              <w:t xml:space="preserve">8.0%</w:t>
            </w:r>
          </w:p>
        </w:tc>
        <w:tc>
          <w:tcPr/>
          <w:p>
            <w:pPr>
              <w:pStyle w:val="Compact"/>
            </w:pPr>
            <w:r>
              <w:t xml:space="preserve">n/a</w:t>
            </w:r>
          </w:p>
        </w:tc>
      </w:tr>
      <w:tr>
        <w:tc>
          <w:tcPr/>
          <w:p>
            <w:pPr>
              <w:pStyle w:val="Compact"/>
            </w:pPr>
            <w:r>
              <w:t xml:space="preserve">Not threatened</w:t>
            </w:r>
          </w:p>
        </w:tc>
        <w:tc>
          <w:tcPr/>
          <w:p>
            <w:pPr>
              <w:pStyle w:val="Compact"/>
            </w:pPr>
            <w:r>
              <w:t xml:space="preserve">245</w:t>
            </w:r>
          </w:p>
        </w:tc>
        <w:tc>
          <w:tcPr/>
          <w:p>
            <w:pPr>
              <w:pStyle w:val="Compact"/>
            </w:pPr>
            <w:r>
              <w:t xml:space="preserve">17</w:t>
            </w:r>
          </w:p>
        </w:tc>
        <w:tc>
          <w:tcPr/>
          <w:p>
            <w:pPr>
              <w:pStyle w:val="Compact"/>
            </w:pPr>
            <w:r>
              <w:t xml:space="preserve">6.9%</w:t>
            </w:r>
          </w:p>
        </w:tc>
        <w:tc>
          <w:tcPr/>
          <w:p>
            <w:pPr>
              <w:pStyle w:val="Compact"/>
            </w:pPr>
            <w:r>
              <w:t xml:space="preserve">n/a</w:t>
            </w:r>
          </w:p>
        </w:tc>
      </w:tr>
    </w:tbl>
    <w:p>
      <w:pPr>
        <w:pStyle w:val="BodyText"/>
      </w:pPr>
      <w:r>
        <w:t xml:space="preserve">The eight formal apologies are the entire on-screen accountability record of a 567-episode corpus, so they can be listed. Captain Cragen tells Stephanie Mulroney (S01E15),</w:t>
      </w:r>
      <w:r>
        <w:t xml:space="preserve"> </w:t>
      </w:r>
      <w:r>
        <w:t xml:space="preserve">“I was wrong, Ms. Mulroney,”</w:t>
      </w:r>
      <w:r>
        <w:t xml:space="preserve"> </w:t>
      </w:r>
      <w:r>
        <w:t xml:space="preserve">and, over her flat</w:t>
      </w:r>
      <w:r>
        <w:t xml:space="preserve"> </w:t>
      </w:r>
      <w:r>
        <w:t xml:space="preserve">“All right,”</w:t>
      </w:r>
      <w:r>
        <w:t xml:space="preserve"> </w:t>
      </w:r>
      <w:r>
        <w:t xml:space="preserve">asks her to</w:t>
      </w:r>
      <w:r>
        <w:t xml:space="preserve"> </w:t>
      </w:r>
      <w:r>
        <w:t xml:space="preserve">“please accept my apologies to your family.”</w:t>
      </w:r>
      <w:r>
        <w:t xml:space="preserve"> </w:t>
      </w:r>
      <w:r>
        <w:t xml:space="preserve">A court apologizes to Evan Ramsey (S03E01), who is shot dead days later by his own daughter. A detective quietly corrects the record for Varla, a homeless woman with a phantom pregnancy accused of abandoning a baby (S07E14). Victor Tate (S11E01) hears Stabler say,</w:t>
      </w:r>
      <w:r>
        <w:t xml:space="preserve"> </w:t>
      </w:r>
      <w:r>
        <w:t xml:space="preserve">“I made a mistake, Victor. I wanted to tell you myself”</w:t>
      </w:r>
      <w:r>
        <w:t xml:space="preserve">; Tate’s answer is quoted in Section 5.2. Frank Sullivan (S11E21) receives his from an ADA after he slits his wrists in an interrogation room. Detectives reveal that Vicki Harris’s arrest for prostitution (S13E10) was staged to get her out of danger. Omar Pena’s exoneration (S13E17) carries two acknowledgments, one private and one official: Benson admits to a colleague,</w:t>
      </w:r>
      <w:r>
        <w:t xml:space="preserve"> </w:t>
      </w:r>
      <w:r>
        <w:t xml:space="preserve">“I broke him,”</w:t>
      </w:r>
      <w:r>
        <w:t xml:space="preserve"> </w:t>
      </w:r>
      <w:r>
        <w:t xml:space="preserve">and then,</w:t>
      </w:r>
      <w:r>
        <w:t xml:space="preserve"> </w:t>
      </w:r>
      <w:r>
        <w:t xml:space="preserve">“I forced a false confession,”</w:t>
      </w:r>
      <w:r>
        <w:t xml:space="preserve"> </w:t>
      </w:r>
      <w:r>
        <w:t xml:space="preserve">and it is the judge, vacating the conviction, who tells Pena in open court that</w:t>
      </w:r>
      <w:r>
        <w:t xml:space="preserve"> </w:t>
      </w:r>
      <w:r>
        <w:t xml:space="preserve">“this court sincerely apologizes.”</w:t>
      </w:r>
      <w:r>
        <w:t xml:space="preserve"> </w:t>
      </w:r>
      <w:r>
        <w:t xml:space="preserve">Stephen Lomatin (S17E09), an auxiliary police officer accused of rape, receives the eighth. That is the complete list.</w:t>
      </w:r>
    </w:p>
    <w:bookmarkEnd w:id="28"/>
    <w:bookmarkStart w:id="29" w:name="the-dead"/>
    <w:p>
      <w:pPr>
        <w:pStyle w:val="Heading3"/>
      </w:pPr>
      <w:r>
        <w:t xml:space="preserve">4.8 The dead</w:t>
      </w:r>
    </w:p>
    <w:p>
      <w:pPr>
        <w:pStyle w:val="FirstParagraph"/>
      </w:pPr>
      <w:r>
        <w:t xml:space="preserve">Table 9 summarizes the adjudicated death and physical-harm audit described in Section 3.5. Every count below was verified record by record, and every borderline case was ruled on by name.</w:t>
      </w:r>
    </w:p>
    <w:p>
      <w:pPr>
        <w:pStyle w:val="BodyText"/>
      </w:pPr>
      <w:r>
        <w:rPr>
          <w:b/>
          <w:bCs/>
        </w:rPr>
        <w:t xml:space="preserve">Table 9. Adjudicated deaths and physical harm among the 521 innocent persons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Final count</w:t>
            </w:r>
          </w:p>
        </w:tc>
      </w:tr>
      <w:tr>
        <w:tc>
          <w:tcPr/>
          <w:p>
            <w:pPr>
              <w:pStyle w:val="Compact"/>
            </w:pPr>
            <w:r>
              <w:t xml:space="preserve">Murdered or killed as a consequence of the accusation</w:t>
            </w:r>
          </w:p>
        </w:tc>
        <w:tc>
          <w:tcPr/>
          <w:p>
            <w:pPr>
              <w:pStyle w:val="Compact"/>
            </w:pPr>
            <w:r>
              <w:t xml:space="preserve">21 (2 in custody; 1 killed by police)</w:t>
            </w:r>
          </w:p>
        </w:tc>
      </w:tr>
      <w:tr>
        <w:tc>
          <w:tcPr/>
          <w:p>
            <w:pPr>
              <w:pStyle w:val="Compact"/>
            </w:pPr>
            <w:r>
              <w:t xml:space="preserve">Completed suicides</w:t>
            </w:r>
          </w:p>
        </w:tc>
        <w:tc>
          <w:tcPr/>
          <w:p>
            <w:pPr>
              <w:pStyle w:val="Compact"/>
            </w:pPr>
            <w:r>
              <w:t xml:space="preserve">9</w:t>
            </w:r>
          </w:p>
        </w:tc>
      </w:tr>
      <w:tr>
        <w:tc>
          <w:tcPr/>
          <w:p>
            <w:pPr>
              <w:pStyle w:val="Compact"/>
            </w:pPr>
            <w:r>
              <w:t xml:space="preserve">Other accusation-linked deaths (overdose; AIDS after wrongful imprisonment)</w:t>
            </w:r>
          </w:p>
        </w:tc>
        <w:tc>
          <w:tcPr/>
          <w:p>
            <w:pPr>
              <w:pStyle w:val="Compact"/>
            </w:pPr>
            <w:r>
              <w:t xml:space="preserve">2</w:t>
            </w:r>
          </w:p>
        </w:tc>
      </w:tr>
      <w:tr>
        <w:tc>
          <w:tcPr/>
          <w:p>
            <w:pPr>
              <w:pStyle w:val="Compact"/>
            </w:pPr>
            <w:r>
              <w:rPr>
                <w:b/>
                <w:bCs/>
              </w:rPr>
              <w:t xml:space="preserve">Total dead</w:t>
            </w:r>
          </w:p>
        </w:tc>
        <w:tc>
          <w:tcPr/>
          <w:p>
            <w:pPr>
              <w:pStyle w:val="Compact"/>
            </w:pPr>
            <w:r>
              <w:rPr>
                <w:b/>
                <w:bCs/>
              </w:rPr>
              <w:t xml:space="preserve">32, across 31 distinct episodes</w:t>
            </w:r>
          </w:p>
        </w:tc>
      </w:tr>
      <w:tr>
        <w:tc>
          <w:tcPr/>
          <w:p>
            <w:pPr>
              <w:pStyle w:val="Compact"/>
            </w:pPr>
            <w:r>
              <w:t xml:space="preserve">Apologies (partial or formal) among the dead</w:t>
            </w:r>
          </w:p>
        </w:tc>
        <w:tc>
          <w:tcPr/>
          <w:p>
            <w:pPr>
              <w:pStyle w:val="Compact"/>
            </w:pPr>
            <w:r>
              <w:t xml:space="preserve">5 of 32</w:t>
            </w:r>
          </w:p>
        </w:tc>
      </w:tr>
      <w:tr>
        <w:tc>
          <w:tcPr/>
          <w:p>
            <w:pPr>
              <w:pStyle w:val="Compact"/>
            </w:pPr>
            <w:r>
              <w:t xml:space="preserve">Suicide attempts, survived</w:t>
            </w:r>
          </w:p>
        </w:tc>
        <w:tc>
          <w:tcPr/>
          <w:p>
            <w:pPr>
              <w:pStyle w:val="Compact"/>
            </w:pPr>
            <w:r>
              <w:t xml:space="preserve">8, all in structured fields</w:t>
            </w:r>
          </w:p>
        </w:tc>
      </w:tr>
      <w:tr>
        <w:tc>
          <w:tcPr/>
          <w:p>
            <w:pPr>
              <w:pStyle w:val="Compact"/>
            </w:pPr>
            <w:r>
              <w:t xml:space="preserve">Non-fatal assaults, vigilante attacks, and shootings</w:t>
            </w:r>
          </w:p>
        </w:tc>
        <w:tc>
          <w:tcPr/>
          <w:p>
            <w:pPr>
              <w:pStyle w:val="Compact"/>
            </w:pPr>
            <w:r>
              <w:t xml:space="preserve">28 in structured fields, plus 3 verified in notes only</w:t>
            </w:r>
          </w:p>
        </w:tc>
      </w:tr>
    </w:tbl>
    <w:p>
      <w:pPr>
        <w:pStyle w:val="BodyText"/>
      </w:pPr>
      <w:r>
        <w:t xml:space="preserve">Twenty-one innocent persons are murdered or killed as a consequence of the accusation. Two die in custody: Russell Ramsay, beaten, raped, and killed at Rikers (S02E08), and Manny Montero, murdered at Rikers after agreeing to testify (S15E13). One is killed by the police themselves: Terrence Reynolds (S17E05). The rest die outside, mostly at the hands of people who believed the accusation. Eric Byers (S10E02), a 17-year-old stepbrother of the victim, is among them. So is Jerome Jones (S16E13), seized on the street trying to return a woman’s purse; she cries</w:t>
      </w:r>
      <w:r>
        <w:t xml:space="preserve"> </w:t>
      </w:r>
      <w:r>
        <w:t xml:space="preserve">“Please! He attacked me,”</w:t>
      </w:r>
      <w:r>
        <w:t xml:space="preserve"> </w:t>
      </w:r>
      <w:r>
        <w:t xml:space="preserve">and moments later,</w:t>
      </w:r>
      <w:r>
        <w:t xml:space="preserve"> </w:t>
      </w:r>
      <w:r>
        <w:t xml:space="preserve">“Then arrest him! He raped me!”</w:t>
      </w:r>
      <w:r>
        <w:t xml:space="preserve">, and after security footage clears him, the victim’s father kidnaps, tortures, and murders him anyway. One murder entered the count only at adjudication: Dr. Archibald Newlands (S05E05), whose death sits in the free-form tags and never in the structured consequence field, which is why the first pass missed him; the rules now sweep the tags too.</w:t>
      </w:r>
    </w:p>
    <w:p>
      <w:pPr>
        <w:pStyle w:val="BodyText"/>
      </w:pPr>
      <w:r>
        <w:t xml:space="preserve">Nine more die by suicide. Mariel Plummer (S05E18), a child-services worker, is arrested, fired, stripped of her pension, and pilloried in the press before killing herself. Edwin Adelson (S12E02), framed with planted files, perp-walked, and outed in the media, jumps in front of a train after arraignment. Eddie Cappilla (S04E21) kills himself in the same episode in which his brother Joe is murdered, making that hour the only one in the series with two accusation-linked deaths. One suicide moved houses during the audit: Larry Tauber’s death had been coded to S05E04, but that cell holds S06E14’s script; the suicide is S06E14 content, where Tauber’s genuine record already sat, and it is counted once. Two deaths fall outside both categories. Leon Tate (S03E04) dies of a drug overdose while wrongly suspected of serial murders, and his mother blames the police. Ricardo Torres (S21E06), coerced into false testimony at 15, spends 15 years in prison, contracts HIV there, and dies of AIDS shortly after release.</w:t>
      </w:r>
    </w:p>
    <w:p>
      <w:pPr>
        <w:pStyle w:val="BodyText"/>
      </w:pPr>
      <w:r>
        <w:t xml:space="preserve">In total, 32 people innocent of the accusation against them die, across 31 distinct episodes: 5.4% of the 576 aired hours, 5.5% of the corrected base. Among the 32 dead, police apologize, formally or partially, in 5 cases.</w:t>
      </w:r>
    </w:p>
    <w:p>
      <w:pPr>
        <w:pStyle w:val="BodyText"/>
      </w:pPr>
      <w:r>
        <w:t xml:space="preserve">Below the fatal line, 8 persons attempt suicide and survive, all recorded in structured fields: among them Charlotte Truex (S08E14), a minor who slits her wrist immediately after a coerced confession taken without counsel, and Kevin Wright (S12E21), whose attempt sits in the structured tags, where an earlier pass had misfiled it as notes-only. Five named records were considered and excluded (Robert Logan S05E03, Colin Bennett S18E15, Aidan Connor S05E15, Javier Vega S05E21, Ashlee Walker S10E19): in each, the record supports ideation, threat, or ambiguity rather than an attempt. Twenty-eight persons suffer non-fatal violence recorded in structured fields, with three more verified only in notes. Police gunfire accounts for five: Willie Angel (S04E13) is shot, paralyzed, framed with a drop gun, and wrongfully imprisoned for 25 years; Yusef Barre (S15E11) is shot and paralyzed by a detective who believed he was armed; Michael Baxter (S05E11) and Larry Luft (S11E13) survive their wounds; and Xavier Gonzalez (S22E07) is fired upon and missed. The remainder are vigilante beatings, family violence, and in-custody assaults: Coach Alexei Belyakov (S14E13), stabbed with an ice pick over an abuse accusation that proves false; Eric Plummer (S03E02), wrongfully convicted and then beaten, raped, and tortured across seven years in prison; Sean Roberts (S18E02), whose 16 years of wrongful imprisonment included repeated rape, adjudicated in as in-custody violence; and Luna Prasada (S21E15), a framed executive jailed without bail amid a media pile-on and sexually assaulted by fellow inmates. One of the three notes-only cases, Marc Rajic (S13E09), survives an attempt to burn him alive with gasoline while the structured field records only a vigilante threat.</w:t>
      </w:r>
    </w:p>
    <w:p>
      <w:pPr>
        <w:pStyle w:val="BodyText"/>
      </w:pPr>
      <w:r>
        <w:t xml:space="preserve">The audit’s exclusions define the counts as much as its inclusions, so I list the traps by name. Travis Hall (S01E04) is tagged suspected_then_cleared_by_death, but he overdosed a week before the crime; the death precedes the accusation. Officer Peter Ridley (S01E04) is arrested_for_wrong_murder, a phrase containing the word murder and no dead accused person. Carlos Hernandez (S21E06) carries a tag recording that his mother and sister were murdered while he sat wrongly imprisoned; he survived, so he counts toward no death figure, however much he belongs in any moral accounting. Doug Loveless (S12E19) and Jean Dussault (S01E08) carry death-keyword tags referring to other people’s deaths and a pre-accusation overdose. Dr. Matt Spevak (S05E23) was murdered by his twin and framed posthumously: death before accusation, again. Mr. Lee (S18E17), a restaurant owner, receives death threats and an armed intrusion but no on-screen injury. And Guarana (S15E17) is excluded from the audit entirely as a dataset inclusion error: she was never accused, and her row is queued for removal in the validation pass. Every one of these strings defeats a keyword counter, which is how an earlier draft came to report 31 murders and 21 suicides. The adjudicated figures are 21 and 9.</w:t>
      </w:r>
    </w:p>
    <w:bookmarkEnd w:id="29"/>
    <w:bookmarkEnd w:id="30"/>
    <w:bookmarkStart w:id="35" w:name="discussion"/>
    <w:p>
      <w:pPr>
        <w:pStyle w:val="Heading2"/>
      </w:pPr>
      <w:r>
        <w:t xml:space="preserve">5. Discussion</w:t>
      </w:r>
    </w:p>
    <w:bookmarkStart w:id="31" w:name="the-wrong-man-as-furniture"/>
    <w:p>
      <w:pPr>
        <w:pStyle w:val="Heading3"/>
      </w:pPr>
      <w:r>
        <w:t xml:space="preserve">5.1 The wrong man as furniture</w:t>
      </w:r>
    </w:p>
    <w:p>
      <w:pPr>
        <w:pStyle w:val="FirstParagraph"/>
      </w:pPr>
      <w:r>
        <w:t xml:space="preserve">The prevalence numbers settle one question: the falsely accused person is a load-bearing element of the SVU formula, present in three of every five episodes and averaging nearly one qualifying victim per hour across 27 years. Red herrings alone account for 172 persons, characters the writers created specifically to be wrongly suspected, whose narrative function is to absorb suspicion for two acts and release it in the third.</w:t>
      </w:r>
    </w:p>
    <w:p>
      <w:pPr>
        <w:pStyle w:val="BodyText"/>
      </w:pPr>
      <w:r>
        <w:t xml:space="preserve">What the counting adds to that familiar observation is the injury report. These disposable characters are damaged severely: 62.4% at severity 3 or 4, arrest and firing and divorce as standard equipment, death for 32 of them. The convention, named plainly, is that serious harm to the innocent is a normal, expected, and narratively unremarkable byproduct of investigation. The show does show the harm; that is what makes the dataset possible. What it declines to show, 92.1% of the time, is anyone answering for it.</w:t>
      </w:r>
    </w:p>
    <w:p>
      <w:pPr>
        <w:pStyle w:val="BodyText"/>
      </w:pPr>
      <w:r>
        <w:t xml:space="preserve">Table 2 does record a real decline in volume, from 1.53 persons per episode in season 2 down to 0.30 in season 21, and the companion study takes that trajectory across the show’s cultural eras in detail (Orden, in preparation). For present purposes two facts suffice: the convention never stops, even the quietest season injures someone, and the harm to those who still qualify has grown no milder, during the #MeToo-era seasons measurably worse (see the companion).</w:t>
      </w:r>
    </w:p>
    <w:p>
      <w:pPr>
        <w:pStyle w:val="BodyText"/>
      </w:pPr>
      <w:r>
        <w:t xml:space="preserve">The severity gap between initial suspects (mean 2.98) and red herrings (2.44) has its own dramaturgical logic. Red herrings exist for the audience, so the script releases them cheaply at the reveal; initial suspects exist for the detectives, and the story extracts full value: the arrest, the arraignment, the family fracturing on the courthouse steps. On the numbers, the suspects the squad believes in hardest are the ones the fiction hurts worst.</w:t>
      </w:r>
    </w:p>
    <w:bookmarkEnd w:id="31"/>
    <w:bookmarkStart w:id="32" w:name="an-economy-of-apology"/>
    <w:p>
      <w:pPr>
        <w:pStyle w:val="Heading3"/>
      </w:pPr>
      <w:r>
        <w:t xml:space="preserve">5.2 An economy of apology</w:t>
      </w:r>
    </w:p>
    <w:p>
      <w:pPr>
        <w:pStyle w:val="FirstParagraph"/>
      </w:pPr>
      <w:r>
        <w:t xml:space="preserve">The apology findings are, to me, the most legible single result in the study, and they were the first thing in the data that genuinely surprised me. I expected apologies to be rare. I did not expect them to be indifferent to conduct. A detective who threatens an innocent teenager and a detective who behaves impeccably apologize at nearly identical rates, 8.0% against 6.9%. The only variable that moves apology is the size of the wreckage, and even catastrophe only lifts the rate to 16.4%. Five of the eight formal apologies in the whole series attach to severity-4 cases, and most of the dead still receive none: police apologize in only 5 of the 32 fatal cases.</w:t>
      </w:r>
    </w:p>
    <w:p>
      <w:pPr>
        <w:pStyle w:val="BodyText"/>
      </w:pPr>
      <w:r>
        <w:t xml:space="preserve">Procedural-justice research treats acknowledgment of error as a core input to institutional legitimacy (Tyler, 2006). SVU models the opposite equilibrium, several hundred times: error without acknowledgment, followed by the next case. The lesson on offer is that when police harm the innocent, apology is a discretionary grace triggered by ruin, never an obligation triggered by conduct. The show’s most sympathetic characters administer this equilibrium, and that is what gives it force; the norm is modeled by heroes.</w:t>
      </w:r>
    </w:p>
    <w:p>
      <w:pPr>
        <w:pStyle w:val="BodyText"/>
      </w:pPr>
      <w:r>
        <w:t xml:space="preserve">The one scene that breaks the pattern proves it. When Stabler apologizes to Victor Tate in S11E01, the script gives Tate the reply almost no one else in the dataset gets to deliver:</w:t>
      </w:r>
      <w:r>
        <w:t xml:space="preserve"> </w:t>
      </w:r>
      <w:r>
        <w:t xml:space="preserve">“And then my life just stopped! Lost my woman, my friends! Hell, my mother barely knows me!”</w:t>
      </w:r>
      <w:r>
        <w:t xml:space="preserve"> </w:t>
      </w:r>
      <w:r>
        <w:t xml:space="preserve">The show knows what an accusation costs and can write the bill when it chooses. It chooses eight times in 27 seasons. The CSI-effect literature spent a decade asking whether television teaches jurors to expect too much of forensic evidence (Cole &amp; Dioso-Villa, 2009; Podlas, 2006); the parallel question raised here is whether television teaches audiences to expect nothing at all when the state gets it wrong.</w:t>
      </w:r>
    </w:p>
    <w:bookmarkEnd w:id="32"/>
    <w:bookmarkStart w:id="33" w:name="publicity-as-punishment"/>
    <w:p>
      <w:pPr>
        <w:pStyle w:val="Heading3"/>
      </w:pPr>
      <w:r>
        <w:t xml:space="preserve">5.3 Publicity as punishment</w:t>
      </w:r>
    </w:p>
    <w:p>
      <w:pPr>
        <w:pStyle w:val="FirstParagraph"/>
      </w:pPr>
      <w:r>
        <w:t xml:space="preserve">SVU has an implicit theory of stigma, and the severity-by-channel table recovers it with numbers. Accusation contained to the precinct is survivable: mean severity 2.04, catastrophic outcomes at 8.5%. Accusation that reaches a camera is close to a sentence: 45.3% of media-exposed persons reach severity 4, the 5.4-fold difference at the center of this study. The show understands, as Goffman (1963) did, that the injury of stigma is administered by an audience, and it stages the principle again and again: the perp walk, the reporters on the courthouse steps, the neighbor watching the arrest. Within the fiction this is dramaturgy rather than demonstrated causation; the scripts that convene the cameras are the scripts that plan the catastrophe.</w:t>
      </w:r>
    </w:p>
    <w:p>
      <w:pPr>
        <w:pStyle w:val="BodyText"/>
      </w:pPr>
      <w:r>
        <w:t xml:space="preserve">The uncomfortable half of the finding is who convenes the audience. In 83.9% of the cases where the accusation spreads at all, the disclosing party is the squad itself; the press originates exposure in 3.3%. Within the fiction, the institution that transforms a survivable suspicion into a public catastrophe is the police department the series celebrates, and the transformation is depicted as procedure: telling the employer, confronting the suspect at work, staging the arrest. A show built on sympathy for victims has spent 27 seasons scripting its own detectives’ communication habits as the most reliable amplifier of harm to the innocent.</w:t>
      </w:r>
    </w:p>
    <w:p>
      <w:pPr>
        <w:pStyle w:val="BodyText"/>
      </w:pPr>
      <w:r>
        <w:t xml:space="preserve">The ordinary case tells the same story at lower volume. Accusations spread beyond the police for 72.4% of persons, and the workplace, one of the two largest channels at 27.4%, is where the show’s middle-class professionals are questioned in front of colleagues and escorted past their desks. The codebook’s severity floor captures the logic: public accusation with no formal sanction at all is already severity 2, because the audience is the sanction. Keeping suspicion inside the building reads on screen as an act of unusual restraint; it occurs in just over a quarter of cases.</w:t>
      </w:r>
    </w:p>
    <w:bookmarkEnd w:id="33"/>
    <w:bookmarkStart w:id="34" w:name="fiction-against-the-record"/>
    <w:p>
      <w:pPr>
        <w:pStyle w:val="Heading3"/>
      </w:pPr>
      <w:r>
        <w:t xml:space="preserve">5.4 Fiction against the record</w:t>
      </w:r>
    </w:p>
    <w:p>
      <w:pPr>
        <w:pStyle w:val="FirstParagraph"/>
      </w:pPr>
      <w:r>
        <w:t xml:space="preserve">Setting the show’s world beside the documented one requires care about units. The best available estimate of the wrongful conviction rate, from prisoner self-reports, sits near 6% (Loeffler et al., 2019), and exoneration registries count the confirmed cases in the low thousands over three and a half decades (Gross et al., 2005; National Registry of Exonerations, 2026). SVU stages a false accusation in 59.4% of episodes. An episode is a case, roughly, and a false suspect is upstream of a wrongful conviction, so the two rates measure different points in the funnel; no adjustment I can construct, however, closes a gap of that order. The show’s fictional world is one in which wrongful suspicion is the majority experience of contact with a sex-crimes unit.</w:t>
      </w:r>
    </w:p>
    <w:p>
      <w:pPr>
        <w:pStyle w:val="BodyText"/>
      </w:pPr>
      <w:r>
        <w:t xml:space="preserve">The distortion runs in a second direction with the opposite sign. On SVU, the error is discovered within the hour, the real perpetrator confesses, and innocence is proven on screen for 82.3% of the harmed. In the documented record, discovery takes years or decades, arrives for a fraction of the wrongly convicted, and leaves psychiatric injury that outlasts the exoneration (Garrett, 2011; Grounds, 2004; Westervelt &amp; Cook, 2012). The series therefore rehearses two miscalibrations at once: wrongful accusation as far more common than reality, and far more self-correcting. A viewer who took both lessons on board would arrive at something like the show’s own implicit position, that collateral damage is ubiquitous, temporary, and nobody’s fault.</w:t>
      </w:r>
    </w:p>
    <w:p>
      <w:pPr>
        <w:pStyle w:val="BodyText"/>
      </w:pPr>
      <w:r>
        <w:t xml:space="preserve">A related caution: the 12.7% fabrication share in Table 4 is a share of harmed persons in a drama, and it cannot be read as a false-report rate; the consensus for knowingly false sexual assault reports, 2% to 10%, uses a different denominator entirely (Lisak et al., 2010). What the origin table does support is a claim about dramaturgy. The show reserves its worst outcomes for accusations rooted in civilian deceit (42.4% catastrophic) and its mildest for accusations rooted in detective reasoning (14.1%), even though detective reasoning generates the majority of false accusations in the first place. Institutional error is rendered frequent but gentle; civilian malice is rendered rare but lethal. That allocation protects the heroes twice over, and it is exactly the pattern the copaganda literature would predict a police-centered drama to produce (Kappeler &amp; Potter, 2018; Karakatsanis, 2025).</w:t>
      </w:r>
    </w:p>
    <w:p>
      <w:pPr>
        <w:pStyle w:val="BodyText"/>
      </w:pPr>
      <w:r>
        <w:t xml:space="preserve">Whether viewers absorb any of this is a question this study cannot answer and deliberately does not claim to. Content sets the ceiling on cultivation; reception decides what passes through, and the audience research cuts both ways: Hust et al. (2015) found Law &amp; Order franchise exposure associated with lower rape-myth acceptance and better consent negotiation among college students. Reception can diverge from the message system. What the findings here specify is the message system itself, and they hand experimental researchers concrete stimuli: the uncommented coerced confessions, the eight formal apologies, the perp walks that precede suicides. Whether exposure to the convention shifts beliefs about police accountability or juror expectations about accusation and error is now a designable experiment.</w:t>
      </w:r>
    </w:p>
    <w:bookmarkEnd w:id="34"/>
    <w:bookmarkEnd w:id="35"/>
    <w:bookmarkStart w:id="36" w:name="limitations"/>
    <w:p>
      <w:pPr>
        <w:pStyle w:val="Heading2"/>
      </w:pPr>
      <w:r>
        <w:t xml:space="preserve">6. Limitations</w:t>
      </w:r>
    </w:p>
    <w:p>
      <w:pPr>
        <w:pStyle w:val="FirstParagraph"/>
      </w:pPr>
      <w:r>
        <w:t xml:space="preserve">Six limitations bound these findings. First, and most important, the coding instrument has no human reliability estimate yet. On the fields I could check mechanically, the instrument violated instructions at a measurable rate: it returned five actually-guilty person-records despite a codebook prohibition, produced out-of-vocabulary origin values, introduced undocumented accused-of values, and wrapped output in markdown fences it was told to omit. Errors measured on checkable fields imply nonzero error on uncheckable ones, severity judgments above all. The stratified human validation study, prioritizing the 32 death records and the severity-4 stratum, is therefore a requirement for confidence, not a formality. The model rates its own confidence high on 506 of 521 records (97.1%); that figure is uncalibrated and substitutes for nothing.</w:t>
      </w:r>
    </w:p>
    <w:p>
      <w:pPr>
        <w:pStyle w:val="BodyText"/>
      </w:pPr>
      <w:r>
        <w:t xml:space="preserve">Second, the source text was imperfect in ways that survive the audit. The nine wrong-transcript episodes are excluded and their phantom records removed, but 145 transcripts (25.2%) are truncated at the Excel cell limit, and the truncation concentrates in seasons 1-18 (33.7% of that era); the early-era harm and apology counts are therefore best read as undercounts. Four episodes had no transcript and contribute only ambiguity flags; one had encoding damage and contributes a single lower-confidence record; season 27 was three episodes old at collection.</w:t>
      </w:r>
    </w:p>
    <w:p>
      <w:pPr>
        <w:pStyle w:val="BodyText"/>
      </w:pPr>
      <w:r>
        <w:t xml:space="preserve">Third, the coder read transcripts, never footage, so tone, framing, and performance are invisible to it. A raised eyebrow can turn a threat into a bluff both parties understand; no transcript records the eyebrow. A single instrument also means any interpretive bias it carries is applied uniformly across all episodes. Uniform bias leaves comparisons between categories intact, the media multiplier and the apology gradient among them; absolute levels, such as the 53.0% conduct rate, depend on where the instrument set its thresholds.</w:t>
      </w:r>
    </w:p>
    <w:p>
      <w:pPr>
        <w:pStyle w:val="BodyText"/>
      </w:pPr>
      <w:r>
        <w:t xml:space="preserve">Fourth, the codebook’s precision-first design excludes ambiguous cases, so 521 is best read as a floor. Fifth, the model leaked small amounts of out-of-vocabulary coding, disclosed in Section 3.4, and the unit of analysis is the person-episode: eight records are recurring persons accused in separate episodes, so claims about unique lives should use the figure of roughly 513. Sixth, the dataset codes no demographics. Questions about the race, class, and gender of the falsely accused await the next pass, and the SVU literature makes them pressing (Britto et al., 2007).</w:t>
      </w:r>
    </w:p>
    <w:p>
      <w:pPr>
        <w:pStyle w:val="BodyText"/>
      </w:pPr>
      <w:r>
        <w:t xml:space="preserve">None of these limitations, I think, threatens the central proportions: the sensitivity band on the episode rate is 2.7 points, the death audit was adjudicated row by row precisely because it is the most quotable finding, and the apology and exposure results come from controlled fields with almost no missing data.</w:t>
      </w:r>
    </w:p>
    <w:bookmarkEnd w:id="36"/>
    <w:bookmarkStart w:id="37" w:name="the-acceptable-casualty"/>
    <w:p>
      <w:pPr>
        <w:pStyle w:val="Heading2"/>
      </w:pPr>
      <w:r>
        <w:t xml:space="preserve">7. The Acceptable Casualty</w:t>
      </w:r>
    </w:p>
    <w:p>
      <w:pPr>
        <w:pStyle w:val="FirstParagraph"/>
      </w:pPr>
      <w:r>
        <w:t xml:space="preserve">Every long-running procedural teaches its audience an accounting: this is what an investigation costs, and this is who pays. The account this study reads out of SVU is specific. The payer is an innocent person in three of every five hours. The price is usually arrest, a job, a marriage, or a reputation, and in 32 cases a life. The bill is presented by the detectives themselves, whose inference starts most false accusations and whose disclosure habits accompany the worst damage. And the ledger closes without acknowledgment 92.1% of the time.</w:t>
      </w:r>
    </w:p>
    <w:p>
      <w:pPr>
        <w:pStyle w:val="BodyText"/>
      </w:pPr>
      <w:r>
        <w:t xml:space="preserve">I set out to measure a narrative convention, and the convention turned out to have a moral architecture: harm that is shown, so the drama can use it, and accountability that is withheld, so the heroes can survive it. Twenty-seven seasons of that architecture, syndicated daily, is a sustained rehearsal of what wrongful accusation looks like and what follows it. What follows it, on SVU, is the next case.</w:t>
      </w:r>
    </w:p>
    <w:p>
      <w:pPr>
        <w:pStyle w:val="BodyText"/>
      </w:pPr>
      <w:r>
        <w:t xml:space="preserve">The dataset, the codebook, and the audit trail behind this article will be deposited with the project’s OSF repository at submission, and two extensions are underway: the companion longitudinal study (Orden, in preparation) and the human validation study the method requires. The count itself now exists. Anyone who wants to argue that the falsely accused of SVU are treated better, or worse, than I have described can check the rows.</w:t>
      </w:r>
    </w:p>
    <w:bookmarkEnd w:id="37"/>
    <w:bookmarkStart w:id="38" w:name="acknowledgments"/>
    <w:p>
      <w:pPr>
        <w:pStyle w:val="Heading2"/>
      </w:pPr>
      <w:r>
        <w:t xml:space="preserve">Acknowledgments</w:t>
      </w:r>
    </w:p>
    <w:p>
      <w:pPr>
        <w:pStyle w:val="FirstParagraph"/>
      </w:pPr>
      <w:r>
        <w:t xml:space="preserve">Claude (Anthropic) performed the episode coding for this study as the measurement instrument described in Section 3, applying the fixed codebook to all 576 transcripts through the Messages Batch API, and drafted the manuscript text under my direction, which I revised and verified. I validated every figure in this article against the underlying dataset, including the adjudicated death audit in Section 4.8, and I take full responsibility for the content. One circularity should be on the record: the same model family coded the data and drafted the text, which is a further reason the planned validation cross-check uses a non-Anthropic model. Episode transcripts were collected from subslikescript.com.</w:t>
      </w:r>
    </w:p>
    <w:bookmarkEnd w:id="38"/>
    <w:bookmarkStart w:id="39" w:name="references"/>
    <w:p>
      <w:pPr>
        <w:pStyle w:val="Heading2"/>
      </w:pPr>
      <w:r>
        <w:t xml:space="preserve">References</w:t>
      </w:r>
    </w:p>
    <w:p>
      <w:pPr>
        <w:pStyle w:val="FirstParagraph"/>
      </w:pPr>
      <w:r>
        <w:t xml:space="preserve">Bernabo, L. (2022). Copaganda and post-Floyd TVPD: Broadcast television’s response to policing in 2020. Journal of Communication, 72(4), 488-496.</w:t>
      </w:r>
    </w:p>
    <w:p>
      <w:pPr>
        <w:pStyle w:val="BodyText"/>
      </w:pPr>
      <w:r>
        <w:t xml:space="preserve">Britto, S., Hughes, T., Saltzman, K., &amp; Stroh, C. (2007). Does</w:t>
      </w:r>
      <w:r>
        <w:t xml:space="preserve"> </w:t>
      </w:r>
      <w:r>
        <w:t xml:space="preserve">“special”</w:t>
      </w:r>
      <w:r>
        <w:t xml:space="preserve"> </w:t>
      </w:r>
      <w:r>
        <w:t xml:space="preserve">mean young, white and female? Deconstructing the meaning of</w:t>
      </w:r>
      <w:r>
        <w:t xml:space="preserve"> </w:t>
      </w:r>
      <w:r>
        <w:t xml:space="preserve">“special”</w:t>
      </w:r>
      <w:r>
        <w:t xml:space="preserve"> </w:t>
      </w:r>
      <w:r>
        <w:t xml:space="preserve">in Law &amp; Order: Special Victims Unit. Journal of Criminal Justice and Popular Culture, 14(1), 39-57.</w:t>
      </w:r>
    </w:p>
    <w:p>
      <w:pPr>
        <w:pStyle w:val="BodyText"/>
      </w:pPr>
      <w:r>
        <w:t xml:space="preserve">Cole, S. A., &amp; Dioso-Villa, R. (2009). Investigating the</w:t>
      </w:r>
      <w:r>
        <w:t xml:space="preserve"> </w:t>
      </w:r>
      <w:r>
        <w:t xml:space="preserve">“CSI effect”</w:t>
      </w:r>
      <w:r>
        <w:t xml:space="preserve"> </w:t>
      </w:r>
      <w:r>
        <w:t xml:space="preserve">effect: Media and litigation crisis in criminal law. Stanford Law Review, 61(6), 1335-1373.</w:t>
      </w:r>
    </w:p>
    <w:p>
      <w:pPr>
        <w:pStyle w:val="BodyText"/>
      </w:pPr>
      <w:r>
        <w:t xml:space="preserve">Cuklanz, L. M. (2000). Rape on prime time: Television, masculinity, and sexual violence. University of Pennsylvania Press.</w:t>
      </w:r>
    </w:p>
    <w:p>
      <w:pPr>
        <w:pStyle w:val="BodyText"/>
      </w:pPr>
      <w:r>
        <w:t xml:space="preserve">Cuklanz, L. M., &amp; Moorti, S. (2006). Television’s</w:t>
      </w:r>
      <w:r>
        <w:t xml:space="preserve"> </w:t>
      </w:r>
      <w:r>
        <w:t xml:space="preserve">“new”</w:t>
      </w:r>
      <w:r>
        <w:t xml:space="preserve"> </w:t>
      </w:r>
      <w:r>
        <w:t xml:space="preserve">feminism: Prime-time representations of women and victimization. Critical Studies in Media Communication, 23(4), 302-321.</w:t>
      </w:r>
    </w:p>
    <w:p>
      <w:pPr>
        <w:pStyle w:val="BodyText"/>
      </w:pPr>
      <w:r>
        <w:t xml:space="preserve">Dowler, K. (2003). Media consumption and public attitudes toward crime and justice: The relationship between fear of crime, punitive attitudes, and perceived police effectiveness. Journal of Criminal Justice and Popular Culture, 10(2), 109-126.</w:t>
      </w:r>
    </w:p>
    <w:p>
      <w:pPr>
        <w:pStyle w:val="BodyText"/>
      </w:pPr>
      <w:r>
        <w:t xml:space="preserve">Eschholz, S., Mallard, M., &amp; Flynn, S. (2004). Images of prime time justice: A content analysis of</w:t>
      </w:r>
      <w:r>
        <w:t xml:space="preserve"> </w:t>
      </w:r>
      <w:r>
        <w:t xml:space="preserve">“NYPD Blue”</w:t>
      </w:r>
      <w:r>
        <w:t xml:space="preserve"> </w:t>
      </w:r>
      <w:r>
        <w:t xml:space="preserve">and</w:t>
      </w:r>
      <w:r>
        <w:t xml:space="preserve"> </w:t>
      </w:r>
      <w:r>
        <w:t xml:space="preserve">“Law &amp; Order.”</w:t>
      </w:r>
      <w:r>
        <w:t xml:space="preserve"> </w:t>
      </w:r>
      <w:r>
        <w:t xml:space="preserve">Journal of Criminal Justice and Popular Culture, 10(3), 161-180.</w:t>
      </w:r>
    </w:p>
    <w:p>
      <w:pPr>
        <w:pStyle w:val="BodyText"/>
      </w:pPr>
      <w:r>
        <w:t xml:space="preserve">Garrett, B. L. (2011). Convicting the innocent: Where criminal prosecutions go wrong. Harvard University Press.</w:t>
      </w:r>
    </w:p>
    <w:p>
      <w:pPr>
        <w:pStyle w:val="BodyText"/>
      </w:pPr>
      <w:r>
        <w:t xml:space="preserve">Gerbner, G., Gross, L., Morgan, M., Signorielli, N., &amp; Shanahan, J. (2002). Growing up with television: Cultivation processes. In J. Bryant &amp; D. Zillmann (Eds.), Media effects: Advances in theory and research (2nd ed., pp. 43-67). Lawrence Erlbaum Associates.</w:t>
      </w:r>
    </w:p>
    <w:p>
      <w:pPr>
        <w:pStyle w:val="BodyText"/>
      </w:pPr>
      <w:r>
        <w:t xml:space="preserve">Gilardi, F., Alizadeh, M., &amp; Kubli, M. (2023). ChatGPT outperforms crowd workers for text-annotation tasks. Proceedings of the National Academy of Sciences, 120(30), e2305016120.</w:t>
      </w:r>
    </w:p>
    <w:p>
      <w:pPr>
        <w:pStyle w:val="BodyText"/>
      </w:pPr>
      <w:r>
        <w:t xml:space="preserve">Goffman, E. (1963). Stigma: Notes on the management of spoiled identity. Prentice-Hall.</w:t>
      </w:r>
    </w:p>
    <w:p>
      <w:pPr>
        <w:pStyle w:val="BodyText"/>
      </w:pPr>
      <w:r>
        <w:t xml:space="preserve">Gross, S. R., Jacoby, K., Matheson, D. J., Montgomery, N., &amp; Patil, S. (2005). Exonerations in the United States 1989 through 2003. Journal of Criminal Law and Criminology, 95(2), 523-560.</w:t>
      </w:r>
    </w:p>
    <w:p>
      <w:pPr>
        <w:pStyle w:val="BodyText"/>
      </w:pPr>
      <w:r>
        <w:t xml:space="preserve">Grounds, A. (2004). Psychological consequences of wrongful conviction and imprisonment. Canadian Journal of Criminology and Criminal Justice, 46(2), 165-182.</w:t>
      </w:r>
    </w:p>
    <w:p>
      <w:pPr>
        <w:pStyle w:val="BodyText"/>
      </w:pPr>
      <w:r>
        <w:t xml:space="preserve">Hust, S. J. T., et al. (2015). Law &amp; Order, CSI, and NCIS: The association between exposure to crime drama franchises, rape myth acceptance, and sexual consent negotiation among college students. Journal of Health Communication, 20(12), 1369-1381.</w:t>
      </w:r>
    </w:p>
    <w:p>
      <w:pPr>
        <w:pStyle w:val="BodyText"/>
      </w:pPr>
      <w:r>
        <w:t xml:space="preserve">Kappeler, V. E., &amp; Potter, G. W. (2018). The mythology of crime and criminal justice (5th ed.). Waveland Press.</w:t>
      </w:r>
    </w:p>
    <w:p>
      <w:pPr>
        <w:pStyle w:val="BodyText"/>
      </w:pPr>
      <w:r>
        <w:t xml:space="preserve">Karakatsanis, A. (2025). Copaganda: How police and the media manipulate our news. The New Press.</w:t>
      </w:r>
    </w:p>
    <w:p>
      <w:pPr>
        <w:pStyle w:val="BodyText"/>
      </w:pPr>
      <w:r>
        <w:t xml:space="preserve">Kort-Butler, L. A., &amp; Sittner Hartshorn, K. J. (2011). Watching the detectives: Crime programming, fear of crime, and attitudes about the criminal justice system. The Sociological Quarterly, 52(1), 36-55.</w:t>
      </w:r>
    </w:p>
    <w:p>
      <w:pPr>
        <w:pStyle w:val="BodyText"/>
      </w:pPr>
      <w:r>
        <w:t xml:space="preserve">Krippendorff, K. (2019). Content analysis: An introduction to its methodology (4th ed.). Sage.</w:t>
      </w:r>
    </w:p>
    <w:p>
      <w:pPr>
        <w:pStyle w:val="BodyText"/>
      </w:pPr>
      <w:r>
        <w:t xml:space="preserve">Lisak, D., Gardinier, L., Nicksa, S. C., &amp; Cote, A. M. (2010). False allegations of sexual assault: An analysis of ten years of reported cases. Violence Against Women, 16(12), 1318-1334.</w:t>
      </w:r>
    </w:p>
    <w:p>
      <w:pPr>
        <w:pStyle w:val="BodyText"/>
      </w:pPr>
      <w:r>
        <w:t xml:space="preserve">Loeffler, C. E., Hyatt, J., &amp; Ridgeway, G. (2019). Measuring self-reported wrongful convictions among prisoners. Journal of Quantitative Criminology, 35(2), 259-286.</w:t>
      </w:r>
    </w:p>
    <w:p>
      <w:pPr>
        <w:pStyle w:val="BodyText"/>
      </w:pPr>
      <w:r>
        <w:t xml:space="preserve">National Registry of Exonerations. (2026). The National Registry of Exonerations [Database]. University of California Irvine; University of Michigan; Michigan State University. https://exonerationregistry.org</w:t>
      </w:r>
    </w:p>
    <w:p>
      <w:pPr>
        <w:pStyle w:val="BodyText"/>
      </w:pPr>
      <w:r>
        <w:t xml:space="preserve">Neuendorf, K. A. (2017). The content analysis guidebook (2nd ed.). Sage.</w:t>
      </w:r>
    </w:p>
    <w:p>
      <w:pPr>
        <w:pStyle w:val="BodyText"/>
      </w:pPr>
      <w:r>
        <w:t xml:space="preserve">Orden, T. (in preparation). Fewer accusations, worse outcomes: The retreat of the false accusation plot in Law &amp; Order: SVU, 1999-2026. Manuscript.</w:t>
      </w:r>
    </w:p>
    <w:p>
      <w:pPr>
        <w:pStyle w:val="BodyText"/>
      </w:pPr>
      <w:r>
        <w:t xml:space="preserve">Podlas, K. (2006).</w:t>
      </w:r>
      <w:r>
        <w:t xml:space="preserve"> </w:t>
      </w:r>
      <w:r>
        <w:t xml:space="preserve">“The CSI effect”</w:t>
      </w:r>
      <w:r>
        <w:t xml:space="preserve">: Exposing the media myth. Fordham Intellectual Property, Media and Entertainment Law Journal, 16(2), 429-465.</w:t>
      </w:r>
    </w:p>
    <w:p>
      <w:pPr>
        <w:pStyle w:val="BodyText"/>
      </w:pPr>
      <w:r>
        <w:t xml:space="preserve">Projansky, S. (2001). Watching rape: Film and television in postfeminist culture. NYU Press.</w:t>
      </w:r>
    </w:p>
    <w:p>
      <w:pPr>
        <w:pStyle w:val="BodyText"/>
      </w:pPr>
      <w:r>
        <w:t xml:space="preserve">Rapping, E. (2003). Law and justice as seen on TV. New York University Press.</w:t>
      </w:r>
    </w:p>
    <w:p>
      <w:pPr>
        <w:pStyle w:val="BodyText"/>
      </w:pPr>
      <w:r>
        <w:t xml:space="preserve">Surette, R. (2015). Media, crime, and criminal justice: Images, realities, and policies (5th ed.). Cengage Learning.</w:t>
      </w:r>
    </w:p>
    <w:p>
      <w:pPr>
        <w:pStyle w:val="BodyText"/>
      </w:pPr>
      <w:r>
        <w:t xml:space="preserve">Törnberg, P. (2023). ChatGPT-4 outperforms experts and crowd workers in annotating political Twitter messages with zero-shot learning. arXiv:2304.06588.</w:t>
      </w:r>
    </w:p>
    <w:p>
      <w:pPr>
        <w:pStyle w:val="BodyText"/>
      </w:pPr>
      <w:r>
        <w:t xml:space="preserve">Tyler, T. R. (2006). Why people obey the law. Princeton University Press.</w:t>
      </w:r>
    </w:p>
    <w:p>
      <w:pPr>
        <w:pStyle w:val="BodyText"/>
      </w:pPr>
      <w:r>
        <w:t xml:space="preserve">Westervelt, S. D., &amp; Cook, K. J. (2012). Life after death row: Exonerees’ search for community and identity. Rutgers University Press.</w:t>
      </w:r>
    </w:p>
    <w:p>
      <w:pPr>
        <w:pStyle w:val="BodyText"/>
      </w:pPr>
      <w:r>
        <w:t xml:space="preserve">Ziems, C., Held, W., Shaikh, O., Chen, J., Zhang, Z., &amp; Yang, D. (2024). Can large language models transform computational social science? Computational Linguistics, 50(1), 237-291.</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2026-07-05T09:27:19Z</dcterms:created>
  <dcterms:modified xsi:type="dcterms:W3CDTF">2026-07-05T09:27:19Z</dcterms:modified>
</cp:coreProperties>
</file>

<file path=docProps/custom.xml><?xml version="1.0" encoding="utf-8"?>
<Properties xmlns="http://schemas.openxmlformats.org/officeDocument/2006/custom-properties" xmlns:vt="http://schemas.openxmlformats.org/officeDocument/2006/docPropsVTypes"/>
</file>