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aa6b6fb9d71daec0f9be27fdcf84f13af0f0e33"/>
    <w:p>
      <w:pPr>
        <w:pStyle w:val="Heading1"/>
      </w:pPr>
      <w:r>
        <w:t xml:space="preserve">Collateral Damage as Narrative Convention: A Systematic Content Analysis of False Accusation Portrayals Across 27 Seasons of Law &amp; Order: Special Victims Unit</w:t>
      </w:r>
    </w:p>
    <w:p>
      <w:pPr>
        <w:pStyle w:val="FirstParagraph"/>
      </w:pPr>
      <w:r>
        <w:rPr>
          <w:b/>
          <w:bCs/>
        </w:rPr>
        <w:t xml:space="preserve">Tyler Satchel Orden</w:t>
      </w:r>
      <w:r>
        <w:t xml:space="preserve"> </w:t>
      </w:r>
      <w:r>
        <w:t xml:space="preserve">Independent researcher</w:t>
      </w:r>
      <w:r>
        <w:t xml:space="preserve"> </w:t>
      </w:r>
      <w:r>
        <w:t xml:space="preserve">Contact: tylerorden@gmail.com</w:t>
      </w:r>
    </w:p>
    <w:p>
      <w:pPr>
        <w:pStyle w:val="BodyText"/>
      </w:pPr>
      <w:r>
        <w:rPr>
          <w:i/>
          <w:iCs/>
        </w:rPr>
        <w:t xml:space="preserve">Manuscript prepared July 2026</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is one of the most durable fictions about policing ever broadcast in the United States. This article reports a census-style content analysis of all 576 episodes across the show’s 27 seasons, asking how often the series depicts innocent people harmed by false or mistaken accusations, what those harms look like, and how the fictional detectives answer for them. A large language model applied a fixed codebook to every episode transcript, functioning as a measurement instrument; the coding identified 541 harmed persons, 536 of whom remain in the analysis after excluding five coded as actually guilty. At least one falsely accused person appears in 59.7% of episodes (62.3% counting ambiguous cases). The harm is typically severe: 62.3% of persons reach severity 3 or 4 on a four-point scale, and 21.1% suffer life-altering or fatal outcomes. A row-level audit confirms 21 murders (2 in custody), 9 completed suicides, and 1 fatal overdose. The detectives’ own inference is the leading accusation origin (55.0%), detectives threaten, coerce, or degrade the innocent in 52.4% of cases, and the squad itself discloses the accusation in 87.3% of cases. Yet an apology of any kind follows in only 7.6% of cases, and a formal apology in 1.7%. Apology tracks catastrophe rather than conduct: 0.0% at severity 1 against 17.7% at severity 4, while threatened and unthreatened persons are apologized to at nearly identical rates (7.8% vs 7.5%). Media exposure multiplies catastrophe: 46.0% of media-exposed persons reach severity 4, against 8.8% when word never leaves the precinct. I argue that the series renders collateral harm to the innocent as a narrative convention, visible but unaccounted for.</w:t>
      </w:r>
    </w:p>
    <w:p>
      <w:pPr>
        <w:pStyle w:val="BodyText"/>
      </w:pPr>
      <w:r>
        <w:rPr>
          <w:b/>
          <w:bCs/>
        </w:rPr>
        <w:t xml:space="preserve">Keywords:</w:t>
      </w:r>
      <w:r>
        <w:t xml:space="preserve"> </w:t>
      </w:r>
      <w:r>
        <w:t xml:space="preserve">false accusations; police procedural; copaganda; cultivation theory; content analysis; Law &amp; Order: Special Victims Unit; large language models; wrongful conviction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eighth episode of its second season, Law &amp; Order: Special Victims Unit arrests a man named Russell Ramsay for a rape he did not commit. The accusation reaches him through the sex-offender registry. He is perp-walked, charged, and remanded to Rikers Island, where he begs the detectives for help:</w:t>
      </w:r>
      <w:r>
        <w:t xml:space="preserve"> </w:t>
      </w:r>
      <w:r>
        <w:t xml:space="preserve">“I gotta stay awake at night so I don’t get ambushed… I can’t look at a guy without getting jumped.”</w:t>
      </w:r>
      <w:r>
        <w:t xml:space="preserve"> </w:t>
      </w:r>
      <w:r>
        <w:t xml:space="preserve">A few scenes later the outcome arrives in three flat sentences:</w:t>
      </w:r>
      <w:r>
        <w:t xml:space="preserve"> </w:t>
      </w:r>
      <w:r>
        <w:t xml:space="preserve">“Russell Ramsay was attacked at Rikers. He was beaten and raped. He was killed.”</w:t>
      </w:r>
      <w:r>
        <w:t xml:space="preserve"> </w:t>
      </w:r>
      <w:r>
        <w:t xml:space="preserve">The episode then identifies the real rapist and ends.</w:t>
      </w:r>
    </w:p>
    <w:p>
      <w:pPr>
        <w:pStyle w:val="BodyText"/>
      </w:pPr>
      <w:r>
        <w:t xml:space="preserve">Ramsay is fictional, and so is the harm the script assigns him. What interests me is that the series has done some version of this to 535 other people.</w:t>
      </w:r>
    </w:p>
    <w:p>
      <w:pPr>
        <w:pStyle w:val="BodyText"/>
      </w:pPr>
      <w:r>
        <w:t xml:space="preserve">SVU premiered in September 1999 and was still airing new episodes when I collected data in January 2026: 27 seasons, 576 episodes, plus a second life in syndication and streaming that puts its reruns in front of viewers more or less continuously. Scholarship on the show has concentrated on its treatment of victims, its gender politics, and its place in the Law &amp; Order franchise’s ideology of prosecution (Britto et al., 2007; Cuklanz &amp; Moorti, 2006; Rapping, 2003). A larger literature treats the police procedural as a machine for producing favorable beliefs about policing, whether through cultivation of a television-shaped social reality (Gerbner et al., 2002) or through the mythologies the genre repeats about crime and its solvers (Kappeler &amp; Potter, 2018; Karakatsanis, 2025). Almost none of this work looks squarely at the people the fictional investigation chews through on its way to the real perpetrator: the suspects who are accused, exposed, and then cleared.</w:t>
      </w:r>
    </w:p>
    <w:p>
      <w:pPr>
        <w:pStyle w:val="BodyText"/>
      </w:pPr>
      <w:r>
        <w:t xml:space="preserve">That omission is worth repairing, because the cleared suspect is where a procedural quietly states its theory of acceptable loss. A show can be sympathetic to victims, hostile to offenders, and still teach its audience something specific about the innocent people in between: how often they get caught in the machinery, how badly they are hurt, who pointed the finger first, and whether anyone ever says sorry. Those are empirical questions about the text itself, and they can be answered by counting.</w:t>
      </w:r>
    </w:p>
    <w:p>
      <w:pPr>
        <w:pStyle w:val="BodyText"/>
      </w:pPr>
      <w:r>
        <w:t xml:space="preserve">This study counts. I coded every SVU episode broadcast through January 2026 for persons who are accused of a crime, later shown or strongly implied to be innocent, and harmed by the accusation through public exposure or physical consequence. The coding was performed by a large language model applying a fixed written codebook, a design I describe in Section 3 and treat throughout as an instrument to be audited rather than a collaborator to be trusted. The resulting dataset covers 536 qualifying persons across 576 episodes.</w:t>
      </w:r>
    </w:p>
    <w:p>
      <w:pPr>
        <w:pStyle w:val="BodyText"/>
      </w:pPr>
      <w:r>
        <w:t xml:space="preserve">The headline findings are these. A falsely accused person appears in 59.7% of all episodes. Harm is severe (severity 3 or 4) for 62.3% of the persons harmed. The single largest source of false accusation is the detectives’ own inference, at 55.0%. Detectives threaten, coerce, or degrade the innocent person in 52.4% of cases, and the squad itself is the party that spreads the accusation beyond the precinct in 87.3% of cases. An apology of any kind follows in 7.6% of cases; a formal one in 1.7%. And a verified, row-level death audit finds 31 accusation-linked deaths, including 21 murders and 9 suicides, spread across 5.2% of the series.</w:t>
      </w:r>
    </w:p>
    <w:p>
      <w:pPr>
        <w:pStyle w:val="BodyText"/>
      </w:pPr>
      <w:r>
        <w:t xml:space="preserve">The pattern those numbers describe, I will argue, is a narrative convention: collateral damage to the innocent as a routine, visible, and unaccounted-for cost of the fictional investigation.</w:t>
      </w:r>
    </w:p>
    <w:p>
      <w:pPr>
        <w:pStyle w:val="BodyText"/>
      </w:pPr>
      <w:r>
        <w:t xml:space="preserve">SVU is worth this much counting because of its unusual position in American media. Few scripted programs have run long enough to constitute a stable, decades-long message system of the kind cultivation theory was built to study, and fewer still occupy a topic where public beliefs bear so directly on institutional behavior: how sex-crime allegations should be investigated, how much collateral suspicion is tolerable, and what the police owe the people they wrongly pursue. A viewer who has watched even a fraction of the catalogue has absorbed hundreds of worked examples of those questions, each resolved the same way. This article documents what the worked examples contain.</w:t>
      </w:r>
    </w:p>
    <w:bookmarkEnd w:id="10"/>
    <w:bookmarkStart w:id="14" w:name="the-procedural-and-its-casualties"/>
    <w:p>
      <w:pPr>
        <w:pStyle w:val="Heading2"/>
      </w:pPr>
      <w:r>
        <w:t xml:space="preserve">2. The Procedural and Its Casualties</w:t>
      </w:r>
    </w:p>
    <w:bookmarkStart w:id="11" w:name="X90eec6af69defc56048883a2d9463edcc5b43f7"/>
    <w:p>
      <w:pPr>
        <w:pStyle w:val="Heading3"/>
      </w:pPr>
      <w:r>
        <w:t xml:space="preserve">2.1 Cultivation, crime drama, and what viewers take away</w:t>
      </w:r>
    </w:p>
    <w:p>
      <w:pPr>
        <w:pStyle w:val="FirstParagraph"/>
      </w:pPr>
      <w:r>
        <w:t xml:space="preserve">Cultivation research holds that heavy television viewing pulls beliefs about the world toward the world television depicts (Gerbner et al., 2002). Crime programming is the classic site for the effect, because the genre’s distortions are large and consistent: violent crime is overrepresented, clearance is near-certain, and investigation is fast. Dowler (2003) finds crime-media consumption associated with perceptions of police effectiveness; Kort-Butler and Hartshorn (2011) show that different genres of crime programming carry distinct lessons about the justice system, with crime dramas linked to confidence in that system even as they stoke fear of crime. Surette (2015) frames the general mechanism as a substitution: for most viewers, mediated experience of criminal justice is nearly all the experience they have.</w:t>
      </w:r>
    </w:p>
    <w:p>
      <w:pPr>
        <w:pStyle w:val="BodyText"/>
      </w:pPr>
      <w:r>
        <w:t xml:space="preserve">The CSI-effect literature is instructive here less for its contested jury findings than for what it concedes on all sides: that procedural television plausibly shapes expectations about how investigation and evidence work (Cole &amp; Dioso-Villa, 2009; Podlas, 2006). If jurors can absorb a forensic fantasy from CSI, viewers can absorb an interrogation-room ethics from SVU. The question is what that ethics contains, and content analysis is the right tool for finding out (Eschholz et al., 2004).</w:t>
      </w:r>
    </w:p>
    <w:p>
      <w:pPr>
        <w:pStyle w:val="BodyText"/>
      </w:pPr>
      <w:r>
        <w:t xml:space="preserve">The content-analytic tradition in this area has usually worked from samples: a season here, a composite week of programming there, coded by hand because hand-coding is expensive. Eschholz et al. (2004) built their analysis of NYPD Blue and Law &amp; Order from single-season samples, and the design was reasonable given the labor involved. A sample is a compromise, though, and for questions about a show’s conventions the compromise bites, because conventions are exactly what varies least within a season and most across eras. The present study codes the population: every episode the program has aired. Whatever else may be said about the instrument that made this affordable, the census design removes an entire class of inferential worry.</w:t>
      </w:r>
    </w:p>
    <w:bookmarkEnd w:id="11"/>
    <w:bookmarkStart w:id="12" w:name="copaganda-and-the-svu-literature"/>
    <w:p>
      <w:pPr>
        <w:pStyle w:val="Heading3"/>
      </w:pPr>
      <w:r>
        <w:t xml:space="preserve">2.2 Copaganda and the SVU literature</w:t>
      </w:r>
    </w:p>
    <w:p>
      <w:pPr>
        <w:pStyle w:val="FirstParagraph"/>
      </w:pPr>
      <w:r>
        <w:t xml:space="preserve">A second body of work reads the procedural as advocacy. Kappeler and Potter (2018) catalogue the mythologies that crime media sustain; Karakatsanis (2025) gives the phenomenon its popular name, copaganda, and traces how coverage and entertainment alike keep public attention on individual predators and away from institutional failure. Rapping (2003) reads the Law &amp; Order franchise specifically as a long argument for prosecution as the solution to social disorder.</w:t>
      </w:r>
    </w:p>
    <w:p>
      <w:pPr>
        <w:pStyle w:val="BodyText"/>
      </w:pPr>
      <w:r>
        <w:t xml:space="preserve">SVU has drawn its own scholarship, most of it centered on victims. Britto et al. (2007) find the show’s victim pool skews young, white, and female relative to crime statistics. Cuklanz and Moorti (2006) credit the series with a prime-time feminism that takes sexual violence seriously while noting the limits of its politics. Bernabo (2022) examines how broadcast procedurals answered the post-2020 reckoning over policing, finding varied narrative strategies rather than a single reform posture. What the SVU literature has needed is a systematic account of the show’s other recurring character: the innocent suspect. Critics of the genre have long observed that procedurals churn through wrong men on the way to the right one. Nobody, to my knowledge, has counted them, graded their injuries, and checked who apologized.</w:t>
      </w:r>
    </w:p>
    <w:p>
      <w:pPr>
        <w:pStyle w:val="BodyText"/>
      </w:pPr>
      <w:r>
        <w:t xml:space="preserve">That last item matters more than it may appear. Procedural-justice research finds that acknowledgment of error is central to institutional legitimacy (Tyler, 2006). A drama that shows harm without acknowledgment is modeling a specific accountability norm, and it is modeling it hundreds of times.</w:t>
      </w:r>
    </w:p>
    <w:p>
      <w:pPr>
        <w:pStyle w:val="BodyText"/>
      </w:pPr>
      <w:r>
        <w:t xml:space="preserve">There is also a conceptual point buried here that the copaganda framing sometimes flattens. Pro-police messaging need not hide harm; it can display harm and detach it from responsibility. A series that showed no wrongful arrests would be implausible to its own audience. A series that shows wrongful arrests constantly, attaches them to sympathetic protagonists, resolves them within the hour, and moves on without consequence is doing something subtler, and arguably more effective, than concealment. Whether SVU fits that description is an empirical question about its scripts, which is why I went and read all of them, or had them read.</w:t>
      </w:r>
    </w:p>
    <w:bookmarkEnd w:id="12"/>
    <w:bookmarkStart w:id="13" w:name="wrongful-accusation-off-screen"/>
    <w:p>
      <w:pPr>
        <w:pStyle w:val="Heading3"/>
      </w:pPr>
      <w:r>
        <w:t xml:space="preserve">2.3 Wrongful accusation off screen</w:t>
      </w:r>
    </w:p>
    <w:p>
      <w:pPr>
        <w:pStyle w:val="FirstParagraph"/>
      </w:pPr>
      <w:r>
        <w:t xml:space="preserve">Off screen, wrongful accusation is neither rare nor cheap, but it is rarer than SVU implies and far more expensive. Garrett (2011) documents how ordinary investigative practice produced the first 250 DNA exonerations. Gross et al. (2005) catalogue exonerations from 1989 to 2003; the National Registry of Exonerations (2026) has continued the count since. Loeffler et al. (2019), using self-reports from a state prison population, estimate a wrongful conviction rate near 6%. The aftermath is long: exonerees carry lasting psychiatric injury (Grounds, 2004) and struggle to rebuild identity and community years after release (Westervelt &amp; Cook, 2012). On the accusation side, the research consensus places knowingly false reports of sexual assault in the range of 2% to 10% of reports (Lisak et al., 2010), and the stigma of a sex-crime allegation attaches regardless of outcome. Sex crimes are the worst possible genre in which to be the wrong man, and sex crimes are SVU’s entire jurisdiction.</w:t>
      </w:r>
    </w:p>
    <w:bookmarkEnd w:id="13"/>
    <w:bookmarkEnd w:id="14"/>
    <w:bookmarkStart w:id="21" w:name="method"/>
    <w:p>
      <w:pPr>
        <w:pStyle w:val="Heading2"/>
      </w:pPr>
      <w:r>
        <w:t xml:space="preserve">3. Method</w:t>
      </w:r>
    </w:p>
    <w:bookmarkStart w:id="15" w:name="sample"/>
    <w:p>
      <w:pPr>
        <w:pStyle w:val="Heading3"/>
      </w:pPr>
      <w:r>
        <w:t xml:space="preserve">3.1 Sample</w:t>
      </w:r>
    </w:p>
    <w:p>
      <w:pPr>
        <w:pStyle w:val="FirstParagraph"/>
      </w:pPr>
      <w:r>
        <w:t xml:space="preserve">The sample is a census: all 576 episodes of SVU, seasons 1 through 27, with season 27 partial at three episodes because it was airing at collection time. Full episode transcripts were collected from subslikescript.com and assembled into a single structured file with season, episode number, and title. Five episodes had defective source text. Four (S14E01, S14E02, S15E01, S17E01) had empty transcripts; one (S06E09) contained non-English character encoding. I describe how these were handled in Sections 3.4 and 6.</w:t>
      </w:r>
    </w:p>
    <w:bookmarkEnd w:id="15"/>
    <w:bookmarkStart w:id="16" w:name="the-coding-instrument"/>
    <w:p>
      <w:pPr>
        <w:pStyle w:val="Heading3"/>
      </w:pPr>
      <w:r>
        <w:t xml:space="preserve">3.2 The coding instrument</w:t>
      </w:r>
    </w:p>
    <w:p>
      <w:pPr>
        <w:pStyle w:val="FirstParagraph"/>
      </w:pPr>
      <w:r>
        <w:t xml:space="preserve">Every transcript was coded by a large language model, claude-sonnet-4-5-20250929 (Anthropic), accessed through the Messages Batch API. Each of the 576 requests contained the same fixed system prompt, which is the complete codebook, and one episode transcript. The model returned structured JSON: episode-level flags plus one record per qualifying person. All 576 requests returned output without error. The full run cost between $15 and $17 in API fees and completed in roughly 14 hours.</w:t>
      </w:r>
    </w:p>
    <w:p>
      <w:pPr>
        <w:pStyle w:val="BodyText"/>
      </w:pPr>
      <w:r>
        <w:t xml:space="preserve">I treated the model as an instrument rather than an assistant, and the distinction matters for how the method should be judged. The model never saw my hypotheses and never participated in a conversation. It exercised no discretion beyond what the codebook grants any coder: one transcript in, one fixed rubric applied, one structured record out, 576 times. In that respect it sits closer to an optical scanner than to a research collaborator. Like any instrument it has error, and the honest position is that the error is described but never yet quantified: a stratified human validation study, prioritizing the death rows in Section 4.8, is in progress and reported as a limitation until complete. The model’s self-reported confidence field reads</w:t>
      </w:r>
      <w:r>
        <w:t xml:space="preserve"> </w:t>
      </w:r>
      <w:r>
        <w:t xml:space="preserve">“high”</w:t>
      </w:r>
      <w:r>
        <w:t xml:space="preserve"> </w:t>
      </w:r>
      <w:r>
        <w:t xml:space="preserve">on roughly 97% of rows and should be treated as uncalibrated.</w:t>
      </w:r>
    </w:p>
    <w:p>
      <w:pPr>
        <w:pStyle w:val="BodyText"/>
      </w:pPr>
      <w:r>
        <w:t xml:space="preserve">The batch design was chosen for discipline as much as cost. Because all 576 requests were submitted as a single job against a frozen prompt, no coding decision could contaminate a later one: the instrument could never drift, learn my preferences, or be nudged mid-run, failure modes that interactive use invites. The output pipeline was mundane and is worth recording for replication. The model returned each episode’s coding as JSON; despite instructions to the contrary it wrapped most responses in markdown fences, which had to be stripped in post-processing before parsing. Records were then aggregated into two flat files, one row per episode and one row per qualifying person, and those two files are the sole source of every statistic in this article. The complete codebook, reproduced verbatim, and the pipeline documentation are available from the author, and the batch input can be regenerated from the transcript file, so the entire measurement is repeatable by anyone for the price of a modest dinner.</w:t>
      </w:r>
    </w:p>
    <w:p>
      <w:pPr>
        <w:pStyle w:val="BodyText"/>
      </w:pPr>
      <w:r>
        <w:t xml:space="preserve">That affordability deserves one more sentence, because it is the methodological point of the paper’s design. Hand-coding 576 hour-long episodes on a twenty-field codebook is a multi-year project or a funded team; this coding cost less than $20 and a day of waiting. The trade is that reliability, which a team of human coders establishes as it works, must here be established afterward, by auditing the instrument’s output against human judgment. Section 3.5 describes the audit already performed; the Limitations section describes the one still owed.</w:t>
      </w:r>
    </w:p>
    <w:bookmarkEnd w:id="16"/>
    <w:bookmarkStart w:id="17" w:name="codebook-and-inclusion-criteria"/>
    <w:p>
      <w:pPr>
        <w:pStyle w:val="Heading3"/>
      </w:pPr>
      <w:r>
        <w:t xml:space="preserve">3.3 Codebook and inclusion criteria</w:t>
      </w:r>
    </w:p>
    <w:p>
      <w:pPr>
        <w:pStyle w:val="FirstParagraph"/>
      </w:pPr>
      <w:r>
        <w:t xml:space="preserve">The codebook’s inclusion rule, which I refer to as the North Star criteria, admits a person-row only if all three conditions hold: (1) the person is proven or strongly implied innocent of the accused offense; (2) the person experiences public exposure (workplace, family, school, media, church, or online) or a physical or violent consequence; and (3) the harm follows from the accusation itself rather than from unrelated events. Being accused in front of colleagues with no further sanction qualifies, at the low end of the severity scale. Private questioning with no spread and no material harm does not qualify at all.</w:t>
      </w:r>
    </w:p>
    <w:p>
      <w:pPr>
        <w:pStyle w:val="BodyText"/>
      </w:pPr>
      <w:r>
        <w:t xml:space="preserve">Each record carries controlled-vocabulary fields: innocence status (proven innocent, strongly implied innocent, partially involved, actually guilty); role in plot (initial suspect, red herring, family member, colleague, community member, other); the offense accused of; accusation origin, defined as who first pointed the finger (victim identification, witness misidentification, squad inference, coerced interview, technical or database error, fabrication, unknown); exposure channel and the party who disclosed; consequence category and free-text detail; and a four-point severity scale: 1, private or low-level harm; 2, public exposure without formal sanction; 3, material sanction or serious fallout such as firing, arrest, or family dissolution; 4, life-altering outcomes or death. Two further fields code police behavior: conduct toward the person (none, verbal threat, coercive tactic, insult or degradation, multiple) and apology (none, partial, formal, unknown), where a partial apology is softened language without responsibility and a formal apology is a clear on-screen acknowledgment of the wrongful accusation. Each record also stores verbatim supporting quotes, an evidence-type field, free-form tags, and notes.</w:t>
      </w:r>
    </w:p>
    <w:p>
      <w:pPr>
        <w:pStyle w:val="BodyText"/>
      </w:pPr>
      <w:r>
        <w:t xml:space="preserve">Two design choices deserve defense. The North Star criteria are deliberately conservative, built to exclude rather than include: a person privately questioned and released, with no spread and no material consequence, generates no row, however unpleasant the scene. This buys precision at the price of recall, and it means the counts reported here are floors. And the retention of partially involved persons follows from the study’s definition of its object. A man who lied about an affair and was then wrongly accused of the rape is innocent of the accusation; the harm the accusation causes him is the phenomenon under measurement, whatever else he did. Excluding such cases would quietly adopt the detectives’ own logic, that prior bad acts make a person a legitimate target, and that logic is part of what the study exists to examine.</w:t>
      </w:r>
    </w:p>
    <w:bookmarkEnd w:id="17"/>
    <w:bookmarkStart w:id="18" w:name="X9a72ed6f628b6d883dc19818ecdb64a5898ac07"/>
    <w:p>
      <w:pPr>
        <w:pStyle w:val="Heading3"/>
      </w:pPr>
      <w:r>
        <w:t xml:space="preserve">3.4 Analysis set, exclusions, and normalization</w:t>
      </w:r>
    </w:p>
    <w:p>
      <w:pPr>
        <w:pStyle w:val="FirstParagraph"/>
      </w:pPr>
      <w:r>
        <w:t xml:space="preserve">The raw coding produced 541 person-rows. Five are coded actually guilty: Thomas</w:t>
      </w:r>
      <w:r>
        <w:t xml:space="preserve"> </w:t>
      </w:r>
      <w:r>
        <w:t xml:space="preserve">“Bird”</w:t>
      </w:r>
      <w:r>
        <w:t xml:space="preserve"> </w:t>
      </w:r>
      <w:r>
        <w:t xml:space="preserve">Gordon and Judge Walter Thornburg (both S03E19), Gabriel Duvall in his initial questioning (S06E20), Bill Harris initially (S12E03), and Orville Underwood (S12E12). I excluded these five rows from every person-level statistic because the study counts harm to the innocent, and the codebook itself instructs that actually-guilty persons be excluded. The analysis set is therefore n = 536. Rows coded partially involved (n = 43) are retained: by the controlled-vocabulary definition, these people are guilty of something else and innocent of the accused offense, which is exactly the situation the study measures.</w:t>
      </w:r>
    </w:p>
    <w:p>
      <w:pPr>
        <w:pStyle w:val="BodyText"/>
      </w:pPr>
      <w:r>
        <w:t xml:space="preserve">Two fields required normalization, disclosed here in full. In accusation origin, the coder produced four out-of-vocabulary rows labeled victim_misID (S12E15, S16E13, S20E09, S21E05); on row inspection each is a case in which the victim personally identified the wrong person, which is the documented definition of victim_ID, so the four were folded in (91 + 4 = 95). One row labeled third_party (S17E17) matches the documented definition of witness_misID and was folded in (40 + 1 = 41). In the accused-of field, three spelling variants of kidnapping were unified, and five undocumented values the coder introduced (murder, kidnapping, arson, terrorism, child abandonment) were retained as coded. The apology field contains two rows coded unknown (both S20E21); these are treated as non-apologies in every rate.</w:t>
      </w:r>
    </w:p>
    <w:p>
      <w:pPr>
        <w:pStyle w:val="BodyText"/>
      </w:pPr>
      <w:r>
        <w:t xml:space="preserve">The four transcriptless episodes returned has_false_suspect = Maybe and zero person-rows, so they deflate episode-level rates slightly and contribute nothing at the person level. Because 15 episodes in total carry the Maybe flag, every episode-level rate in this article is reported under both treatments, Y-only and Y-plus-Maybe; the overall false-suspect rate moves by 2.6 percentage points between them, and no conclusion depends on the choice. The single encoding-damaged episode (S06E09) still yielded one person-row, which I treat as lower confidence. Sixteen episodes (2.8%) carry the coder’s needs-deep-review flag.</w:t>
      </w:r>
    </w:p>
    <w:bookmarkEnd w:id="18"/>
    <w:bookmarkStart w:id="19" w:name="verification-and-the-death-audit"/>
    <w:p>
      <w:pPr>
        <w:pStyle w:val="Heading3"/>
      </w:pPr>
      <w:r>
        <w:t xml:space="preserve">3.5 Verification and the death audit</w:t>
      </w:r>
    </w:p>
    <w:p>
      <w:pPr>
        <w:pStyle w:val="FirstParagraph"/>
      </w:pPr>
      <w:r>
        <w:t xml:space="preserve">The free-text consequence field is a keyword trap, and I fell into it before I climbed out. An early internal draft of this analysis counted deaths by keyword matching and reported 31 murders, 21 suicides, and 25 assaults. Row-level verification against the consequence detail, notes, and quoted scenes shows all three figures were wrong: the keyword count had absorbed strings such as arrested_for_wrong_murder, suicide_watch, suicide_attempt, assisted_suicide, family_murdered, and suspected_then_cleared_by_death, none of which is a death of the accused person. Every death and injury figure in Section 4.8 was therefore verified row by row, with each qualifying row inspected individually and each keyword-trap row explicitly excluded. Three injuries that appear only in the notes field, never in the structured consequence detail, are reported separately and never merged into headline counts. I flag this correction prominently because it is the strongest internal evidence in the project for a simple rule: structured fields are for counting, free text is for reading.</w:t>
      </w:r>
    </w:p>
    <w:bookmarkEnd w:id="19"/>
    <w:bookmarkStart w:id="20" w:name="analytic-approach"/>
    <w:p>
      <w:pPr>
        <w:pStyle w:val="Heading3"/>
      </w:pPr>
      <w:r>
        <w:t xml:space="preserve">3.6 Analytic approach</w:t>
      </w:r>
    </w:p>
    <w:p>
      <w:pPr>
        <w:pStyle w:val="FirstParagraph"/>
      </w:pPr>
      <w:r>
        <w:t xml:space="preserve">Because the dataset is a census of the show rather than a sample, the results are population descriptions of the text and carry no sampling error; I report proportions and cross-tabulations without significance tests. All figures were computed directly from the person-level and episode-level CSV files with a Python standard-library script, and I validated every number reported here against those files.</w:t>
      </w:r>
    </w:p>
    <w:bookmarkEnd w:id="20"/>
    <w:bookmarkEnd w:id="21"/>
    <w:bookmarkStart w:id="30" w:name="results"/>
    <w:p>
      <w:pPr>
        <w:pStyle w:val="Heading2"/>
      </w:pPr>
      <w:r>
        <w:t xml:space="preserve">4. Results</w:t>
      </w:r>
    </w:p>
    <w:bookmarkStart w:id="22" w:name="prevalence"/>
    <w:p>
      <w:pPr>
        <w:pStyle w:val="Heading3"/>
      </w:pPr>
      <w:r>
        <w:t xml:space="preserve">4.1 Prevalence</w:t>
      </w:r>
    </w:p>
    <w:p>
      <w:pPr>
        <w:pStyle w:val="FirstParagraph"/>
      </w:pPr>
      <w:r>
        <w:t xml:space="preserve">Table 1 reports the episode-level rates. Of 576 episodes, 344 (59.7%) contain at least one person accused and later shown or strongly implied to be innocent; adding the 15 ambiguous episodes raises the figure to 359 (62.3%). Public exposure of an innocent person occurs in 300 episodes (52.1%; 311 or 54.0% with ambiguous cases). More than half the time, in other words, an hour of SVU includes the public shaming of somebody who did not do it.</w:t>
      </w:r>
    </w:p>
    <w:p>
      <w:pPr>
        <w:pStyle w:val="BodyText"/>
      </w:pPr>
      <w:r>
        <w:rPr>
          <w:b/>
          <w:bCs/>
        </w:rPr>
        <w:t xml:space="preserve">Table 1. Episode-level prevalence (N = 576 episodes)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Y</w:t>
            </w:r>
          </w:p>
        </w:tc>
        <w:tc>
          <w:tcPr/>
          <w:p>
            <w:pPr>
              <w:pStyle w:val="Compact"/>
            </w:pPr>
            <w:r>
              <w:t xml:space="preserve">Maybe</w:t>
            </w:r>
          </w:p>
        </w:tc>
        <w:tc>
          <w:tcPr/>
          <w:p>
            <w:pPr>
              <w:pStyle w:val="Compact"/>
            </w:pPr>
            <w:r>
              <w:t xml:space="preserve">Y-only rate</w:t>
            </w:r>
          </w:p>
        </w:tc>
        <w:tc>
          <w:tcPr/>
          <w:p>
            <w:pPr>
              <w:pStyle w:val="Compact"/>
            </w:pPr>
            <w:r>
              <w:t xml:space="preserve">Y+Maybe rate</w:t>
            </w:r>
          </w:p>
        </w:tc>
      </w:tr>
      <w:tr>
        <w:tc>
          <w:tcPr/>
          <w:p>
            <w:pPr>
              <w:pStyle w:val="Compact"/>
            </w:pPr>
            <w:r>
              <w:t xml:space="preserve">Contains a false suspect</w:t>
            </w:r>
          </w:p>
        </w:tc>
        <w:tc>
          <w:tcPr/>
          <w:p>
            <w:pPr>
              <w:pStyle w:val="Compact"/>
            </w:pPr>
            <w:r>
              <w:t xml:space="preserve">344</w:t>
            </w:r>
          </w:p>
        </w:tc>
        <w:tc>
          <w:tcPr/>
          <w:p>
            <w:pPr>
              <w:pStyle w:val="Compact"/>
            </w:pPr>
            <w:r>
              <w:t xml:space="preserve">15</w:t>
            </w:r>
          </w:p>
        </w:tc>
        <w:tc>
          <w:tcPr/>
          <w:p>
            <w:pPr>
              <w:pStyle w:val="Compact"/>
            </w:pPr>
            <w:r>
              <w:t xml:space="preserve">344/576 = 59.7%</w:t>
            </w:r>
          </w:p>
        </w:tc>
        <w:tc>
          <w:tcPr/>
          <w:p>
            <w:pPr>
              <w:pStyle w:val="Compact"/>
            </w:pPr>
            <w:r>
              <w:t xml:space="preserve">359/576 = 62.3%</w:t>
            </w:r>
          </w:p>
        </w:tc>
      </w:tr>
      <w:tr>
        <w:tc>
          <w:tcPr/>
          <w:p>
            <w:pPr>
              <w:pStyle w:val="Compact"/>
            </w:pPr>
            <w:r>
              <w:t xml:space="preserve">Contains public exposure of an innocent person</w:t>
            </w:r>
          </w:p>
        </w:tc>
        <w:tc>
          <w:tcPr/>
          <w:p>
            <w:pPr>
              <w:pStyle w:val="Compact"/>
            </w:pPr>
            <w:r>
              <w:t xml:space="preserve">300</w:t>
            </w:r>
          </w:p>
        </w:tc>
        <w:tc>
          <w:tcPr/>
          <w:p>
            <w:pPr>
              <w:pStyle w:val="Compact"/>
            </w:pPr>
            <w:r>
              <w:t xml:space="preserve">11</w:t>
            </w:r>
          </w:p>
        </w:tc>
        <w:tc>
          <w:tcPr/>
          <w:p>
            <w:pPr>
              <w:pStyle w:val="Compact"/>
            </w:pPr>
            <w:r>
              <w:t xml:space="preserve">300/576 = 52.1%</w:t>
            </w:r>
          </w:p>
        </w:tc>
        <w:tc>
          <w:tcPr/>
          <w:p>
            <w:pPr>
              <w:pStyle w:val="Compact"/>
            </w:pPr>
            <w:r>
              <w:t xml:space="preserve">311/576 = 54.0%</w:t>
            </w:r>
          </w:p>
        </w:tc>
      </w:tr>
      <w:tr>
        <w:tc>
          <w:tcPr/>
          <w:p>
            <w:pPr>
              <w:pStyle w:val="Compact"/>
            </w:pPr>
            <w:r>
              <w:t xml:space="preserve">Flagged for deep review</w:t>
            </w:r>
          </w:p>
        </w:tc>
        <w:tc>
          <w:tcPr/>
          <w:p>
            <w:pPr>
              <w:pStyle w:val="Compact"/>
            </w:pPr>
            <w:r>
              <w:t xml:space="preserve">16</w:t>
            </w:r>
          </w:p>
        </w:tc>
        <w:tc>
          <w:tcPr/>
          <w:p>
            <w:pPr>
              <w:pStyle w:val="Compact"/>
            </w:pPr>
            <w:r>
              <w:t xml:space="preserve">n/a</w:t>
            </w:r>
          </w:p>
        </w:tc>
        <w:tc>
          <w:tcPr/>
          <w:p>
            <w:pPr>
              <w:pStyle w:val="Compact"/>
            </w:pPr>
            <w:r>
              <w:t xml:space="preserve">16/576 = 2.8%</w:t>
            </w:r>
          </w:p>
        </w:tc>
        <w:tc>
          <w:tcPr/>
          <w:p>
            <w:pPr>
              <w:pStyle w:val="Compact"/>
            </w:pPr>
            <w:r>
              <w:t xml:space="preserve">n/a</w:t>
            </w:r>
          </w:p>
        </w:tc>
      </w:tr>
    </w:tbl>
    <w:p>
      <w:pPr>
        <w:pStyle w:val="BodyText"/>
      </w:pPr>
      <w:r>
        <w:t xml:space="preserve">At the person level, the 536 qualifying individuals work out to 0.93 per episode: nearly one innocent life disrupted per hour of television, sustained for 27 years. Table 2 gives the per-season counts. The early and middle seasons run hottest: season 2 harms 38 people (1.81 per episode) and season 9 harms 36 (1.89). The rate falls in the 2020s, bottoming at 6 persons in season 21 (0.30 per episode), though it never reaches zero.</w:t>
      </w:r>
    </w:p>
    <w:p>
      <w:pPr>
        <w:pStyle w:val="BodyText"/>
      </w:pPr>
      <w:r>
        <w:rPr>
          <w:b/>
          <w:bCs/>
        </w:rPr>
        <w:t xml:space="preserve">Table 2. Persons harmed per season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Season</w:t>
            </w:r>
          </w:p>
        </w:tc>
        <w:tc>
          <w:tcPr/>
          <w:p>
            <w:pPr>
              <w:pStyle w:val="Compact"/>
            </w:pPr>
            <w:r>
              <w:t xml:space="preserve">Episodes</w:t>
            </w:r>
          </w:p>
        </w:tc>
        <w:tc>
          <w:tcPr/>
          <w:p>
            <w:pPr>
              <w:pStyle w:val="Compact"/>
            </w:pPr>
            <w:r>
              <w:t xml:space="preserve">Persons harmed</w:t>
            </w:r>
          </w:p>
        </w:tc>
        <w:tc>
          <w:tcPr/>
          <w:p>
            <w:pPr>
              <w:pStyle w:val="Compact"/>
            </w:pPr>
            <w:r>
              <w:t xml:space="preserve">Persons/episode</w:t>
            </w:r>
          </w:p>
        </w:tc>
      </w:tr>
      <w:tr>
        <w:tc>
          <w:tcPr/>
          <w:p>
            <w:pPr>
              <w:pStyle w:val="Compact"/>
            </w:pPr>
            <w:r>
              <w:t xml:space="preserve">1</w:t>
            </w:r>
          </w:p>
        </w:tc>
        <w:tc>
          <w:tcPr/>
          <w:p>
            <w:pPr>
              <w:pStyle w:val="Compact"/>
            </w:pPr>
            <w:r>
              <w:t xml:space="preserve">22</w:t>
            </w:r>
          </w:p>
        </w:tc>
        <w:tc>
          <w:tcPr/>
          <w:p>
            <w:pPr>
              <w:pStyle w:val="Compact"/>
            </w:pPr>
            <w:r>
              <w:t xml:space="preserve">18</w:t>
            </w:r>
          </w:p>
        </w:tc>
        <w:tc>
          <w:tcPr/>
          <w:p>
            <w:pPr>
              <w:pStyle w:val="Compact"/>
            </w:pPr>
            <w:r>
              <w:t xml:space="preserve">0.82</w:t>
            </w:r>
          </w:p>
        </w:tc>
      </w:tr>
      <w:tr>
        <w:tc>
          <w:tcPr/>
          <w:p>
            <w:pPr>
              <w:pStyle w:val="Compact"/>
            </w:pPr>
            <w:r>
              <w:t xml:space="preserve">2</w:t>
            </w:r>
          </w:p>
        </w:tc>
        <w:tc>
          <w:tcPr/>
          <w:p>
            <w:pPr>
              <w:pStyle w:val="Compact"/>
            </w:pPr>
            <w:r>
              <w:t xml:space="preserve">21</w:t>
            </w:r>
          </w:p>
        </w:tc>
        <w:tc>
          <w:tcPr/>
          <w:p>
            <w:pPr>
              <w:pStyle w:val="Compact"/>
            </w:pPr>
            <w:r>
              <w:t xml:space="preserve">38</w:t>
            </w:r>
          </w:p>
        </w:tc>
        <w:tc>
          <w:tcPr/>
          <w:p>
            <w:pPr>
              <w:pStyle w:val="Compact"/>
            </w:pPr>
            <w:r>
              <w:t xml:space="preserve">1.81</w:t>
            </w:r>
          </w:p>
        </w:tc>
      </w:tr>
      <w:tr>
        <w:tc>
          <w:tcPr/>
          <w:p>
            <w:pPr>
              <w:pStyle w:val="Compact"/>
            </w:pPr>
            <w:r>
              <w:t xml:space="preserve">3</w:t>
            </w:r>
          </w:p>
        </w:tc>
        <w:tc>
          <w:tcPr/>
          <w:p>
            <w:pPr>
              <w:pStyle w:val="Compact"/>
            </w:pPr>
            <w:r>
              <w:t xml:space="preserve">23</w:t>
            </w:r>
          </w:p>
        </w:tc>
        <w:tc>
          <w:tcPr/>
          <w:p>
            <w:pPr>
              <w:pStyle w:val="Compact"/>
            </w:pPr>
            <w:r>
              <w:t xml:space="preserve">25</w:t>
            </w:r>
          </w:p>
        </w:tc>
        <w:tc>
          <w:tcPr/>
          <w:p>
            <w:pPr>
              <w:pStyle w:val="Compact"/>
            </w:pPr>
            <w:r>
              <w:t xml:space="preserve">1.09</w:t>
            </w:r>
          </w:p>
        </w:tc>
      </w:tr>
      <w:tr>
        <w:tc>
          <w:tcPr/>
          <w:p>
            <w:pPr>
              <w:pStyle w:val="Compact"/>
            </w:pPr>
            <w:r>
              <w:t xml:space="preserve">4</w:t>
            </w:r>
          </w:p>
        </w:tc>
        <w:tc>
          <w:tcPr/>
          <w:p>
            <w:pPr>
              <w:pStyle w:val="Compact"/>
            </w:pPr>
            <w:r>
              <w:t xml:space="preserve">25</w:t>
            </w:r>
          </w:p>
        </w:tc>
        <w:tc>
          <w:tcPr/>
          <w:p>
            <w:pPr>
              <w:pStyle w:val="Compact"/>
            </w:pPr>
            <w:r>
              <w:t xml:space="preserve">33</w:t>
            </w:r>
          </w:p>
        </w:tc>
        <w:tc>
          <w:tcPr/>
          <w:p>
            <w:pPr>
              <w:pStyle w:val="Compact"/>
            </w:pPr>
            <w:r>
              <w:t xml:space="preserve">1.32</w:t>
            </w:r>
          </w:p>
        </w:tc>
      </w:tr>
      <w:tr>
        <w:tc>
          <w:tcPr/>
          <w:p>
            <w:pPr>
              <w:pStyle w:val="Compact"/>
            </w:pPr>
            <w:r>
              <w:t xml:space="preserve">5</w:t>
            </w:r>
          </w:p>
        </w:tc>
        <w:tc>
          <w:tcPr/>
          <w:p>
            <w:pPr>
              <w:pStyle w:val="Compact"/>
            </w:pPr>
            <w:r>
              <w:t xml:space="preserve">25</w:t>
            </w:r>
          </w:p>
        </w:tc>
        <w:tc>
          <w:tcPr/>
          <w:p>
            <w:pPr>
              <w:pStyle w:val="Compact"/>
            </w:pPr>
            <w:r>
              <w:t xml:space="preserve">35</w:t>
            </w:r>
          </w:p>
        </w:tc>
        <w:tc>
          <w:tcPr/>
          <w:p>
            <w:pPr>
              <w:pStyle w:val="Compact"/>
            </w:pPr>
            <w:r>
              <w:t xml:space="preserve">1.40</w:t>
            </w:r>
          </w:p>
        </w:tc>
      </w:tr>
      <w:tr>
        <w:tc>
          <w:tcPr/>
          <w:p>
            <w:pPr>
              <w:pStyle w:val="Compact"/>
            </w:pPr>
            <w:r>
              <w:t xml:space="preserve">6</w:t>
            </w:r>
          </w:p>
        </w:tc>
        <w:tc>
          <w:tcPr/>
          <w:p>
            <w:pPr>
              <w:pStyle w:val="Compact"/>
            </w:pPr>
            <w:r>
              <w:t xml:space="preserve">23</w:t>
            </w:r>
          </w:p>
        </w:tc>
        <w:tc>
          <w:tcPr/>
          <w:p>
            <w:pPr>
              <w:pStyle w:val="Compact"/>
            </w:pPr>
            <w:r>
              <w:t xml:space="preserve">27</w:t>
            </w:r>
          </w:p>
        </w:tc>
        <w:tc>
          <w:tcPr/>
          <w:p>
            <w:pPr>
              <w:pStyle w:val="Compact"/>
            </w:pPr>
            <w:r>
              <w:t xml:space="preserve">1.17</w:t>
            </w:r>
          </w:p>
        </w:tc>
      </w:tr>
      <w:tr>
        <w:tc>
          <w:tcPr/>
          <w:p>
            <w:pPr>
              <w:pStyle w:val="Compact"/>
            </w:pPr>
            <w:r>
              <w:t xml:space="preserve">7</w:t>
            </w:r>
          </w:p>
        </w:tc>
        <w:tc>
          <w:tcPr/>
          <w:p>
            <w:pPr>
              <w:pStyle w:val="Compact"/>
            </w:pPr>
            <w:r>
              <w:t xml:space="preserve">22</w:t>
            </w:r>
          </w:p>
        </w:tc>
        <w:tc>
          <w:tcPr/>
          <w:p>
            <w:pPr>
              <w:pStyle w:val="Compact"/>
            </w:pPr>
            <w:r>
              <w:t xml:space="preserve">18</w:t>
            </w:r>
          </w:p>
        </w:tc>
        <w:tc>
          <w:tcPr/>
          <w:p>
            <w:pPr>
              <w:pStyle w:val="Compact"/>
            </w:pPr>
            <w:r>
              <w:t xml:space="preserve">0.82</w:t>
            </w:r>
          </w:p>
        </w:tc>
      </w:tr>
      <w:tr>
        <w:tc>
          <w:tcPr/>
          <w:p>
            <w:pPr>
              <w:pStyle w:val="Compact"/>
            </w:pPr>
            <w:r>
              <w:t xml:space="preserve">8</w:t>
            </w:r>
          </w:p>
        </w:tc>
        <w:tc>
          <w:tcPr/>
          <w:p>
            <w:pPr>
              <w:pStyle w:val="Compact"/>
            </w:pPr>
            <w:r>
              <w:t xml:space="preserve">22</w:t>
            </w:r>
          </w:p>
        </w:tc>
        <w:tc>
          <w:tcPr/>
          <w:p>
            <w:pPr>
              <w:pStyle w:val="Compact"/>
            </w:pPr>
            <w:r>
              <w:t xml:space="preserve">23</w:t>
            </w:r>
          </w:p>
        </w:tc>
        <w:tc>
          <w:tcPr/>
          <w:p>
            <w:pPr>
              <w:pStyle w:val="Compact"/>
            </w:pPr>
            <w:r>
              <w:t xml:space="preserve">1.05</w:t>
            </w:r>
          </w:p>
        </w:tc>
      </w:tr>
      <w:tr>
        <w:tc>
          <w:tcPr/>
          <w:p>
            <w:pPr>
              <w:pStyle w:val="Compact"/>
            </w:pPr>
            <w:r>
              <w:t xml:space="preserve">9</w:t>
            </w:r>
          </w:p>
        </w:tc>
        <w:tc>
          <w:tcPr/>
          <w:p>
            <w:pPr>
              <w:pStyle w:val="Compact"/>
            </w:pPr>
            <w:r>
              <w:t xml:space="preserve">19</w:t>
            </w:r>
          </w:p>
        </w:tc>
        <w:tc>
          <w:tcPr/>
          <w:p>
            <w:pPr>
              <w:pStyle w:val="Compact"/>
            </w:pPr>
            <w:r>
              <w:t xml:space="preserve">36</w:t>
            </w:r>
          </w:p>
        </w:tc>
        <w:tc>
          <w:tcPr/>
          <w:p>
            <w:pPr>
              <w:pStyle w:val="Compact"/>
            </w:pPr>
            <w:r>
              <w:t xml:space="preserve">1.89</w:t>
            </w:r>
          </w:p>
        </w:tc>
      </w:tr>
      <w:tr>
        <w:tc>
          <w:tcPr/>
          <w:p>
            <w:pPr>
              <w:pStyle w:val="Compact"/>
            </w:pPr>
            <w:r>
              <w:t xml:space="preserve">10</w:t>
            </w:r>
          </w:p>
        </w:tc>
        <w:tc>
          <w:tcPr/>
          <w:p>
            <w:pPr>
              <w:pStyle w:val="Compact"/>
            </w:pPr>
            <w:r>
              <w:t xml:space="preserve">22</w:t>
            </w:r>
          </w:p>
        </w:tc>
        <w:tc>
          <w:tcPr/>
          <w:p>
            <w:pPr>
              <w:pStyle w:val="Compact"/>
            </w:pPr>
            <w:r>
              <w:t xml:space="preserve">27</w:t>
            </w:r>
          </w:p>
        </w:tc>
        <w:tc>
          <w:tcPr/>
          <w:p>
            <w:pPr>
              <w:pStyle w:val="Compact"/>
            </w:pPr>
            <w:r>
              <w:t xml:space="preserve">1.23</w:t>
            </w:r>
          </w:p>
        </w:tc>
      </w:tr>
      <w:tr>
        <w:tc>
          <w:tcPr/>
          <w:p>
            <w:pPr>
              <w:pStyle w:val="Compact"/>
            </w:pPr>
            <w:r>
              <w:t xml:space="preserve">11</w:t>
            </w:r>
          </w:p>
        </w:tc>
        <w:tc>
          <w:tcPr/>
          <w:p>
            <w:pPr>
              <w:pStyle w:val="Compact"/>
            </w:pPr>
            <w:r>
              <w:t xml:space="preserve">24</w:t>
            </w:r>
          </w:p>
        </w:tc>
        <w:tc>
          <w:tcPr/>
          <w:p>
            <w:pPr>
              <w:pStyle w:val="Compact"/>
            </w:pPr>
            <w:r>
              <w:t xml:space="preserve">29</w:t>
            </w:r>
          </w:p>
        </w:tc>
        <w:tc>
          <w:tcPr/>
          <w:p>
            <w:pPr>
              <w:pStyle w:val="Compact"/>
            </w:pPr>
            <w:r>
              <w:t xml:space="preserve">1.21</w:t>
            </w:r>
          </w:p>
        </w:tc>
      </w:tr>
      <w:tr>
        <w:tc>
          <w:tcPr/>
          <w:p>
            <w:pPr>
              <w:pStyle w:val="Compact"/>
            </w:pPr>
            <w:r>
              <w:t xml:space="preserve">12</w:t>
            </w:r>
          </w:p>
        </w:tc>
        <w:tc>
          <w:tcPr/>
          <w:p>
            <w:pPr>
              <w:pStyle w:val="Compact"/>
            </w:pPr>
            <w:r>
              <w:t xml:space="preserve">24</w:t>
            </w:r>
          </w:p>
        </w:tc>
        <w:tc>
          <w:tcPr/>
          <w:p>
            <w:pPr>
              <w:pStyle w:val="Compact"/>
            </w:pPr>
            <w:r>
              <w:t xml:space="preserve">22</w:t>
            </w:r>
          </w:p>
        </w:tc>
        <w:tc>
          <w:tcPr/>
          <w:p>
            <w:pPr>
              <w:pStyle w:val="Compact"/>
            </w:pPr>
            <w:r>
              <w:t xml:space="preserve">0.92</w:t>
            </w:r>
          </w:p>
        </w:tc>
      </w:tr>
      <w:tr>
        <w:tc>
          <w:tcPr/>
          <w:p>
            <w:pPr>
              <w:pStyle w:val="Compact"/>
            </w:pPr>
            <w:r>
              <w:t xml:space="preserve">13</w:t>
            </w:r>
          </w:p>
        </w:tc>
        <w:tc>
          <w:tcPr/>
          <w:p>
            <w:pPr>
              <w:pStyle w:val="Compact"/>
            </w:pPr>
            <w:r>
              <w:t xml:space="preserve">23</w:t>
            </w:r>
          </w:p>
        </w:tc>
        <w:tc>
          <w:tcPr/>
          <w:p>
            <w:pPr>
              <w:pStyle w:val="Compact"/>
            </w:pPr>
            <w:r>
              <w:t xml:space="preserve">29</w:t>
            </w:r>
          </w:p>
        </w:tc>
        <w:tc>
          <w:tcPr/>
          <w:p>
            <w:pPr>
              <w:pStyle w:val="Compact"/>
            </w:pPr>
            <w:r>
              <w:t xml:space="preserve">1.26</w:t>
            </w:r>
          </w:p>
        </w:tc>
      </w:tr>
      <w:tr>
        <w:tc>
          <w:tcPr/>
          <w:p>
            <w:pPr>
              <w:pStyle w:val="Compact"/>
            </w:pPr>
            <w:r>
              <w:t xml:space="preserve">14</w:t>
            </w:r>
          </w:p>
        </w:tc>
        <w:tc>
          <w:tcPr/>
          <w:p>
            <w:pPr>
              <w:pStyle w:val="Compact"/>
            </w:pPr>
            <w:r>
              <w:t xml:space="preserve">24</w:t>
            </w:r>
          </w:p>
        </w:tc>
        <w:tc>
          <w:tcPr/>
          <w:p>
            <w:pPr>
              <w:pStyle w:val="Compact"/>
            </w:pPr>
            <w:r>
              <w:t xml:space="preserve">20</w:t>
            </w:r>
          </w:p>
        </w:tc>
        <w:tc>
          <w:tcPr/>
          <w:p>
            <w:pPr>
              <w:pStyle w:val="Compact"/>
            </w:pPr>
            <w:r>
              <w:t xml:space="preserve">0.83</w:t>
            </w:r>
          </w:p>
        </w:tc>
      </w:tr>
      <w:tr>
        <w:tc>
          <w:tcPr/>
          <w:p>
            <w:pPr>
              <w:pStyle w:val="Compact"/>
            </w:pPr>
            <w:r>
              <w:t xml:space="preserve">15</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16</w:t>
            </w:r>
          </w:p>
        </w:tc>
        <w:tc>
          <w:tcPr/>
          <w:p>
            <w:pPr>
              <w:pStyle w:val="Compact"/>
            </w:pPr>
            <w:r>
              <w:t xml:space="preserve">23</w:t>
            </w:r>
          </w:p>
        </w:tc>
        <w:tc>
          <w:tcPr/>
          <w:p>
            <w:pPr>
              <w:pStyle w:val="Compact"/>
            </w:pPr>
            <w:r>
              <w:t xml:space="preserve">14</w:t>
            </w:r>
          </w:p>
        </w:tc>
        <w:tc>
          <w:tcPr/>
          <w:p>
            <w:pPr>
              <w:pStyle w:val="Compact"/>
            </w:pPr>
            <w:r>
              <w:t xml:space="preserve">0.61</w:t>
            </w:r>
          </w:p>
        </w:tc>
      </w:tr>
      <w:tr>
        <w:tc>
          <w:tcPr/>
          <w:p>
            <w:pPr>
              <w:pStyle w:val="Compact"/>
            </w:pPr>
            <w:r>
              <w:t xml:space="preserve">17</w:t>
            </w:r>
          </w:p>
        </w:tc>
        <w:tc>
          <w:tcPr/>
          <w:p>
            <w:pPr>
              <w:pStyle w:val="Compact"/>
            </w:pPr>
            <w:r>
              <w:t xml:space="preserve">23</w:t>
            </w:r>
          </w:p>
        </w:tc>
        <w:tc>
          <w:tcPr/>
          <w:p>
            <w:pPr>
              <w:pStyle w:val="Compact"/>
            </w:pPr>
            <w:r>
              <w:t xml:space="preserve">16</w:t>
            </w:r>
          </w:p>
        </w:tc>
        <w:tc>
          <w:tcPr/>
          <w:p>
            <w:pPr>
              <w:pStyle w:val="Compact"/>
            </w:pPr>
            <w:r>
              <w:t xml:space="preserve">0.70</w:t>
            </w:r>
          </w:p>
        </w:tc>
      </w:tr>
      <w:tr>
        <w:tc>
          <w:tcPr/>
          <w:p>
            <w:pPr>
              <w:pStyle w:val="Compact"/>
            </w:pPr>
            <w:r>
              <w:t xml:space="preserve">18</w:t>
            </w:r>
          </w:p>
        </w:tc>
        <w:tc>
          <w:tcPr/>
          <w:p>
            <w:pPr>
              <w:pStyle w:val="Compact"/>
            </w:pPr>
            <w:r>
              <w:t xml:space="preserve">21</w:t>
            </w:r>
          </w:p>
        </w:tc>
        <w:tc>
          <w:tcPr/>
          <w:p>
            <w:pPr>
              <w:pStyle w:val="Compact"/>
            </w:pPr>
            <w:r>
              <w:t xml:space="preserve">17</w:t>
            </w:r>
          </w:p>
        </w:tc>
        <w:tc>
          <w:tcPr/>
          <w:p>
            <w:pPr>
              <w:pStyle w:val="Compact"/>
            </w:pPr>
            <w:r>
              <w:t xml:space="preserve">0.81</w:t>
            </w:r>
          </w:p>
        </w:tc>
      </w:tr>
      <w:tr>
        <w:tc>
          <w:tcPr/>
          <w:p>
            <w:pPr>
              <w:pStyle w:val="Compact"/>
            </w:pPr>
            <w:r>
              <w:t xml:space="preserve">19</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20</w:t>
            </w:r>
          </w:p>
        </w:tc>
        <w:tc>
          <w:tcPr/>
          <w:p>
            <w:pPr>
              <w:pStyle w:val="Compact"/>
            </w:pPr>
            <w:r>
              <w:t xml:space="preserve">24</w:t>
            </w:r>
          </w:p>
        </w:tc>
        <w:tc>
          <w:tcPr/>
          <w:p>
            <w:pPr>
              <w:pStyle w:val="Compact"/>
            </w:pPr>
            <w:r>
              <w:t xml:space="preserve">18</w:t>
            </w:r>
          </w:p>
        </w:tc>
        <w:tc>
          <w:tcPr/>
          <w:p>
            <w:pPr>
              <w:pStyle w:val="Compact"/>
            </w:pPr>
            <w:r>
              <w:t xml:space="preserve">0.75</w:t>
            </w:r>
          </w:p>
        </w:tc>
      </w:tr>
      <w:tr>
        <w:tc>
          <w:tcPr/>
          <w:p>
            <w:pPr>
              <w:pStyle w:val="Compact"/>
            </w:pPr>
            <w:r>
              <w:t xml:space="preserve">21</w:t>
            </w:r>
          </w:p>
        </w:tc>
        <w:tc>
          <w:tcPr/>
          <w:p>
            <w:pPr>
              <w:pStyle w:val="Compact"/>
            </w:pPr>
            <w:r>
              <w:t xml:space="preserve">20</w:t>
            </w:r>
          </w:p>
        </w:tc>
        <w:tc>
          <w:tcPr/>
          <w:p>
            <w:pPr>
              <w:pStyle w:val="Compact"/>
            </w:pPr>
            <w:r>
              <w:t xml:space="preserve">6</w:t>
            </w:r>
          </w:p>
        </w:tc>
        <w:tc>
          <w:tcPr/>
          <w:p>
            <w:pPr>
              <w:pStyle w:val="Compact"/>
            </w:pPr>
            <w:r>
              <w:t xml:space="preserve">0.30</w:t>
            </w:r>
          </w:p>
        </w:tc>
      </w:tr>
      <w:tr>
        <w:tc>
          <w:tcPr/>
          <w:p>
            <w:pPr>
              <w:pStyle w:val="Compact"/>
            </w:pPr>
            <w:r>
              <w:t xml:space="preserve">22</w:t>
            </w:r>
          </w:p>
        </w:tc>
        <w:tc>
          <w:tcPr/>
          <w:p>
            <w:pPr>
              <w:pStyle w:val="Compact"/>
            </w:pPr>
            <w:r>
              <w:t xml:space="preserve">16</w:t>
            </w:r>
          </w:p>
        </w:tc>
        <w:tc>
          <w:tcPr/>
          <w:p>
            <w:pPr>
              <w:pStyle w:val="Compact"/>
            </w:pPr>
            <w:r>
              <w:t xml:space="preserve">8</w:t>
            </w:r>
          </w:p>
        </w:tc>
        <w:tc>
          <w:tcPr/>
          <w:p>
            <w:pPr>
              <w:pStyle w:val="Compact"/>
            </w:pPr>
            <w:r>
              <w:t xml:space="preserve">0.50</w:t>
            </w:r>
          </w:p>
        </w:tc>
      </w:tr>
      <w:tr>
        <w:tc>
          <w:tcPr/>
          <w:p>
            <w:pPr>
              <w:pStyle w:val="Compact"/>
            </w:pPr>
            <w:r>
              <w:t xml:space="preserve">23</w:t>
            </w:r>
          </w:p>
        </w:tc>
        <w:tc>
          <w:tcPr/>
          <w:p>
            <w:pPr>
              <w:pStyle w:val="Compact"/>
            </w:pPr>
            <w:r>
              <w:t xml:space="preserve">22</w:t>
            </w:r>
          </w:p>
        </w:tc>
        <w:tc>
          <w:tcPr/>
          <w:p>
            <w:pPr>
              <w:pStyle w:val="Compact"/>
            </w:pPr>
            <w:r>
              <w:t xml:space="preserve">9</w:t>
            </w:r>
          </w:p>
        </w:tc>
        <w:tc>
          <w:tcPr/>
          <w:p>
            <w:pPr>
              <w:pStyle w:val="Compact"/>
            </w:pPr>
            <w:r>
              <w:t xml:space="preserve">0.41</w:t>
            </w:r>
          </w:p>
        </w:tc>
      </w:tr>
      <w:tr>
        <w:tc>
          <w:tcPr/>
          <w:p>
            <w:pPr>
              <w:pStyle w:val="Compact"/>
            </w:pPr>
            <w:r>
              <w:t xml:space="preserve">24</w:t>
            </w:r>
          </w:p>
        </w:tc>
        <w:tc>
          <w:tcPr/>
          <w:p>
            <w:pPr>
              <w:pStyle w:val="Compact"/>
            </w:pPr>
            <w:r>
              <w:t xml:space="preserve">22</w:t>
            </w:r>
          </w:p>
        </w:tc>
        <w:tc>
          <w:tcPr/>
          <w:p>
            <w:pPr>
              <w:pStyle w:val="Compact"/>
            </w:pPr>
            <w:r>
              <w:t xml:space="preserve">13</w:t>
            </w:r>
          </w:p>
        </w:tc>
        <w:tc>
          <w:tcPr/>
          <w:p>
            <w:pPr>
              <w:pStyle w:val="Compact"/>
            </w:pPr>
            <w:r>
              <w:t xml:space="preserve">0.59</w:t>
            </w:r>
          </w:p>
        </w:tc>
      </w:tr>
      <w:tr>
        <w:tc>
          <w:tcPr/>
          <w:p>
            <w:pPr>
              <w:pStyle w:val="Compact"/>
            </w:pPr>
            <w:r>
              <w:t xml:space="preserve">25</w:t>
            </w:r>
          </w:p>
        </w:tc>
        <w:tc>
          <w:tcPr/>
          <w:p>
            <w:pPr>
              <w:pStyle w:val="Compact"/>
            </w:pPr>
            <w:r>
              <w:t xml:space="preserve">13</w:t>
            </w:r>
          </w:p>
        </w:tc>
        <w:tc>
          <w:tcPr/>
          <w:p>
            <w:pPr>
              <w:pStyle w:val="Compact"/>
            </w:pPr>
            <w:r>
              <w:t xml:space="preserve">8</w:t>
            </w:r>
          </w:p>
        </w:tc>
        <w:tc>
          <w:tcPr/>
          <w:p>
            <w:pPr>
              <w:pStyle w:val="Compact"/>
            </w:pPr>
            <w:r>
              <w:t xml:space="preserve">0.62</w:t>
            </w:r>
          </w:p>
        </w:tc>
      </w:tr>
      <w:tr>
        <w:tc>
          <w:tcPr/>
          <w:p>
            <w:pPr>
              <w:pStyle w:val="Compact"/>
            </w:pPr>
            <w:r>
              <w:t xml:space="preserve">26</w:t>
            </w:r>
          </w:p>
        </w:tc>
        <w:tc>
          <w:tcPr/>
          <w:p>
            <w:pPr>
              <w:pStyle w:val="Compact"/>
            </w:pPr>
            <w:r>
              <w:t xml:space="preserve">22</w:t>
            </w:r>
          </w:p>
        </w:tc>
        <w:tc>
          <w:tcPr/>
          <w:p>
            <w:pPr>
              <w:pStyle w:val="Compact"/>
            </w:pPr>
            <w:r>
              <w:t xml:space="preserve">14</w:t>
            </w:r>
          </w:p>
        </w:tc>
        <w:tc>
          <w:tcPr/>
          <w:p>
            <w:pPr>
              <w:pStyle w:val="Compact"/>
            </w:pPr>
            <w:r>
              <w:t xml:space="preserve">0.64</w:t>
            </w:r>
          </w:p>
        </w:tc>
      </w:tr>
      <w:tr>
        <w:tc>
          <w:tcPr/>
          <w:p>
            <w:pPr>
              <w:pStyle w:val="Compact"/>
            </w:pPr>
            <w:r>
              <w:t xml:space="preserve">27</w:t>
            </w:r>
          </w:p>
        </w:tc>
        <w:tc>
          <w:tcPr/>
          <w:p>
            <w:pPr>
              <w:pStyle w:val="Compact"/>
            </w:pPr>
            <w:r>
              <w:t xml:space="preserve">3</w:t>
            </w:r>
          </w:p>
        </w:tc>
        <w:tc>
          <w:tcPr/>
          <w:p>
            <w:pPr>
              <w:pStyle w:val="Compact"/>
            </w:pPr>
            <w:r>
              <w:t xml:space="preserve">3</w:t>
            </w:r>
          </w:p>
        </w:tc>
        <w:tc>
          <w:tcPr/>
          <w:p>
            <w:pPr>
              <w:pStyle w:val="Compact"/>
            </w:pPr>
            <w:r>
              <w:t xml:space="preserve">1.00</w:t>
            </w:r>
          </w:p>
        </w:tc>
      </w:tr>
      <w:tr>
        <w:tc>
          <w:tcPr/>
          <w:p>
            <w:pPr>
              <w:pStyle w:val="Compact"/>
            </w:pPr>
            <w:r>
              <w:rPr>
                <w:b/>
                <w:bCs/>
              </w:rPr>
              <w:t xml:space="preserve">Total</w:t>
            </w:r>
          </w:p>
        </w:tc>
        <w:tc>
          <w:tcPr/>
          <w:p>
            <w:pPr>
              <w:pStyle w:val="Compact"/>
            </w:pPr>
            <w:r>
              <w:rPr>
                <w:b/>
                <w:bCs/>
              </w:rPr>
              <w:t xml:space="preserve">576</w:t>
            </w:r>
          </w:p>
        </w:tc>
        <w:tc>
          <w:tcPr/>
          <w:p>
            <w:pPr>
              <w:pStyle w:val="Compact"/>
            </w:pPr>
            <w:r>
              <w:rPr>
                <w:b/>
                <w:bCs/>
              </w:rPr>
              <w:t xml:space="preserve">536</w:t>
            </w:r>
          </w:p>
        </w:tc>
        <w:tc>
          <w:tcPr/>
          <w:p>
            <w:pPr>
              <w:pStyle w:val="Compact"/>
            </w:pPr>
            <w:r>
              <w:rPr>
                <w:b/>
                <w:bCs/>
              </w:rPr>
              <w:t xml:space="preserve">0.93</w:t>
            </w:r>
          </w:p>
        </w:tc>
      </w:tr>
    </w:tbl>
    <w:bookmarkEnd w:id="22"/>
    <w:bookmarkStart w:id="23" w:name="who-gets-accused-and-of-what"/>
    <w:p>
      <w:pPr>
        <w:pStyle w:val="Heading3"/>
      </w:pPr>
      <w:r>
        <w:t xml:space="preserve">4.2 Who gets accused, and of what</w:t>
      </w:r>
    </w:p>
    <w:p>
      <w:pPr>
        <w:pStyle w:val="FirstParagraph"/>
      </w:pPr>
      <w:r>
        <w:t xml:space="preserve">Innocence is rarely left ambiguous. Of the 536 persons, 442 (82.5%) are proven innocent on screen through DNA, a confession by the real perpetrator, or an explicit exoneration; 51 (9.5%) are strongly implied innocent; 43 (8.0%) are partially involved, guilty of some lesser wrong but innocent of the accusation. The show wants the audience to know these people did not do it.</w:t>
      </w:r>
    </w:p>
    <w:p>
      <w:pPr>
        <w:pStyle w:val="BodyText"/>
      </w:pPr>
      <w:r>
        <w:t xml:space="preserve">The accusation itself is usually rape (324 persons, 60.4%), followed by assault (66, 12.3%), child sexual abuse (45, 8.4%), and vaguely specified sex crimes (43, 8.0%), consistent with the unit’s jurisdiction. Structurally, the accused fall into two large groups: initial suspects, the first person the squad pursues (210, 39.2%), and red herrings written into the script to mislead the viewer (180, 33.6%). The two groups are treated differently by the narrative. Initial suspects carry a mean severity of 2.98 and reach severity 4 in 28.6% of cases; red herrings average 2.44 and reach severity 4 in 13.9%. Family members of victims or suspects (80, 14.9%) sit in between at a mean of 2.67, with colleagues (24), community members (19), and others (23) making up the remainder.</w:t>
      </w:r>
    </w:p>
    <w:p>
      <w:pPr>
        <w:pStyle w:val="BodyText"/>
      </w:pPr>
      <w:r>
        <w:t xml:space="preserve">The free-form tags sketch who these people are. Fifty-one are tagged as teenagers. Forty are entangled in custody disputes, where an accusation is a weapon with an obvious owner. Twenty-eight are police officers themselves, 22 are teachers, 14 are doctors, and 13 are immigrants, occupations and statuses in which accusation alone ends careers or triggers deportation machinery. The show knows exactly whom an accusation hurts most, and it casts accordingly.</w:t>
      </w:r>
    </w:p>
    <w:bookmarkEnd w:id="23"/>
    <w:bookmarkStart w:id="24" w:name="severity"/>
    <w:p>
      <w:pPr>
        <w:pStyle w:val="Heading3"/>
      </w:pPr>
      <w:r>
        <w:t xml:space="preserve">4.3 Severity</w:t>
      </w:r>
    </w:p>
    <w:p>
      <w:pPr>
        <w:pStyle w:val="FirstParagraph"/>
      </w:pPr>
      <w:r>
        <w:t xml:space="preserve">Table 3 shows the distribution across the four-point scale. The center of gravity is high: 221 persons (41.2%) suffer a material sanction such as arrest, firing, or family dissolution, and 113 (21.1%) suffer a life-altering outcome or die. Together, 334 of 536 persons (62.3%) land at severity 3 or 4. The mean is 2.72. Mild outcomes are the exception; only 62 persons (11.6%) escape with private, low-level harm.</w:t>
      </w:r>
    </w:p>
    <w:p>
      <w:pPr>
        <w:pStyle w:val="BodyText"/>
      </w:pPr>
      <w:r>
        <w:rPr>
          <w:b/>
          <w:bCs/>
        </w:rPr>
        <w:t xml:space="preserve">Table 3. Consequence severity (n = 536 persons)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n</w:t>
            </w:r>
          </w:p>
        </w:tc>
        <w:tc>
          <w:tcPr/>
          <w:p>
            <w:pPr>
              <w:pStyle w:val="Compact"/>
            </w:pPr>
            <w:r>
              <w:t xml:space="preserve">%</w:t>
            </w:r>
          </w:p>
        </w:tc>
      </w:tr>
      <w:tr>
        <w:tc>
          <w:tcPr/>
          <w:p>
            <w:pPr>
              <w:pStyle w:val="Compact"/>
            </w:pPr>
            <w:r>
              <w:t xml:space="preserve">1</w:t>
            </w:r>
          </w:p>
        </w:tc>
        <w:tc>
          <w:tcPr/>
          <w:p>
            <w:pPr>
              <w:pStyle w:val="Compact"/>
            </w:pPr>
            <w:r>
              <w:t xml:space="preserve">Private or low-level harm</w:t>
            </w:r>
          </w:p>
        </w:tc>
        <w:tc>
          <w:tcPr/>
          <w:p>
            <w:pPr>
              <w:pStyle w:val="Compact"/>
            </w:pPr>
            <w:r>
              <w:t xml:space="preserve">62</w:t>
            </w:r>
          </w:p>
        </w:tc>
        <w:tc>
          <w:tcPr/>
          <w:p>
            <w:pPr>
              <w:pStyle w:val="Compact"/>
            </w:pPr>
            <w:r>
              <w:t xml:space="preserve">11.6%</w:t>
            </w:r>
          </w:p>
        </w:tc>
      </w:tr>
      <w:tr>
        <w:tc>
          <w:tcPr/>
          <w:p>
            <w:pPr>
              <w:pStyle w:val="Compact"/>
            </w:pPr>
            <w:r>
              <w:t xml:space="preserve">2</w:t>
            </w:r>
          </w:p>
        </w:tc>
        <w:tc>
          <w:tcPr/>
          <w:p>
            <w:pPr>
              <w:pStyle w:val="Compact"/>
            </w:pPr>
            <w:r>
              <w:t xml:space="preserve">Public exposure, no formal sanction</w:t>
            </w:r>
          </w:p>
        </w:tc>
        <w:tc>
          <w:tcPr/>
          <w:p>
            <w:pPr>
              <w:pStyle w:val="Compact"/>
            </w:pPr>
            <w:r>
              <w:t xml:space="preserve">140</w:t>
            </w:r>
          </w:p>
        </w:tc>
        <w:tc>
          <w:tcPr/>
          <w:p>
            <w:pPr>
              <w:pStyle w:val="Compact"/>
            </w:pPr>
            <w:r>
              <w:t xml:space="preserve">26.1%</w:t>
            </w:r>
          </w:p>
        </w:tc>
      </w:tr>
      <w:tr>
        <w:tc>
          <w:tcPr/>
          <w:p>
            <w:pPr>
              <w:pStyle w:val="Compact"/>
            </w:pPr>
            <w:r>
              <w:t xml:space="preserve">3</w:t>
            </w:r>
          </w:p>
        </w:tc>
        <w:tc>
          <w:tcPr/>
          <w:p>
            <w:pPr>
              <w:pStyle w:val="Compact"/>
            </w:pPr>
            <w:r>
              <w:t xml:space="preserve">Material sanction or serious fallout</w:t>
            </w:r>
          </w:p>
        </w:tc>
        <w:tc>
          <w:tcPr/>
          <w:p>
            <w:pPr>
              <w:pStyle w:val="Compact"/>
            </w:pPr>
            <w:r>
              <w:t xml:space="preserve">221</w:t>
            </w:r>
          </w:p>
        </w:tc>
        <w:tc>
          <w:tcPr/>
          <w:p>
            <w:pPr>
              <w:pStyle w:val="Compact"/>
            </w:pPr>
            <w:r>
              <w:t xml:space="preserve">41.2%</w:t>
            </w:r>
          </w:p>
        </w:tc>
      </w:tr>
      <w:tr>
        <w:tc>
          <w:tcPr/>
          <w:p>
            <w:pPr>
              <w:pStyle w:val="Compact"/>
            </w:pPr>
            <w:r>
              <w:t xml:space="preserve">4</w:t>
            </w:r>
          </w:p>
        </w:tc>
        <w:tc>
          <w:tcPr/>
          <w:p>
            <w:pPr>
              <w:pStyle w:val="Compact"/>
            </w:pPr>
            <w:r>
              <w:t xml:space="preserve">Life-altering outcome or death</w:t>
            </w:r>
          </w:p>
        </w:tc>
        <w:tc>
          <w:tcPr/>
          <w:p>
            <w:pPr>
              <w:pStyle w:val="Compact"/>
            </w:pPr>
            <w:r>
              <w:t xml:space="preserve">113</w:t>
            </w:r>
          </w:p>
        </w:tc>
        <w:tc>
          <w:tcPr/>
          <w:p>
            <w:pPr>
              <w:pStyle w:val="Compact"/>
            </w:pPr>
            <w:r>
              <w:t xml:space="preserve">21.1%</w:t>
            </w:r>
          </w:p>
        </w:tc>
      </w:tr>
    </w:tbl>
    <w:p>
      <w:pPr>
        <w:pStyle w:val="BodyText"/>
      </w:pPr>
      <w:r>
        <w:t xml:space="preserve">The primary harm domain is most often plural: 207 persons (38.6%) are coded into multiple consequence categories at once, with legal consequences alone accounting for a further 156 (29.1%), and social, work, physical, and family harm dividing the rest.</w:t>
      </w:r>
    </w:p>
    <w:bookmarkEnd w:id="24"/>
    <w:bookmarkStart w:id="25" w:name="where-accusations-come-from"/>
    <w:p>
      <w:pPr>
        <w:pStyle w:val="Heading3"/>
      </w:pPr>
      <w:r>
        <w:t xml:space="preserve">4.4 Where accusations come from</w:t>
      </w:r>
    </w:p>
    <w:p>
      <w:pPr>
        <w:pStyle w:val="FirstParagraph"/>
      </w:pPr>
      <w:r>
        <w:t xml:space="preserve">Table 4 reports the accusation origin, the controlled field recording who first pointed the finger. The leading source, at 295 of 536 persons (55.0%), is squad inference: the detectives’ own theory, built from pattern-matching, proximity, or a prior record. Victims identifying the wrong person account for 95 cases (17.7%). Deliberate fabrication accounts for 66 (12.3%), witness misidentification for 41 (7.6%), technical and database errors for 26 (4.9%), and coerced interview statements for 12 (2.2%).</w:t>
      </w:r>
    </w:p>
    <w:p>
      <w:pPr>
        <w:pStyle w:val="BodyText"/>
      </w:pPr>
      <w:r>
        <w:rPr>
          <w:b/>
          <w:bCs/>
        </w:rPr>
        <w:t xml:space="preserve">Table 4. Accusation origin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Origin</w:t>
            </w:r>
          </w:p>
        </w:tc>
        <w:tc>
          <w:tcPr/>
          <w:p>
            <w:pPr>
              <w:pStyle w:val="Compact"/>
            </w:pPr>
            <w:r>
              <w:t xml:space="preserve">n</w:t>
            </w:r>
          </w:p>
        </w:tc>
        <w:tc>
          <w:tcPr/>
          <w:p>
            <w:pPr>
              <w:pStyle w:val="Compact"/>
            </w:pPr>
            <w:r>
              <w:t xml:space="preserve">%</w:t>
            </w:r>
          </w:p>
        </w:tc>
        <w:tc>
          <w:tcPr/>
          <w:p>
            <w:pPr>
              <w:pStyle w:val="Compact"/>
            </w:pPr>
            <w:r>
              <w:t xml:space="preserve">Mean severity</w:t>
            </w:r>
          </w:p>
        </w:tc>
        <w:tc>
          <w:tcPr/>
          <w:p>
            <w:pPr>
              <w:pStyle w:val="Compact"/>
            </w:pPr>
            <w:r>
              <w:t xml:space="preserve">% severity 4</w:t>
            </w:r>
          </w:p>
        </w:tc>
      </w:tr>
      <w:tr>
        <w:tc>
          <w:tcPr/>
          <w:p>
            <w:pPr>
              <w:pStyle w:val="Compact"/>
            </w:pPr>
            <w:r>
              <w:t xml:space="preserve">Squad inference</w:t>
            </w:r>
          </w:p>
        </w:tc>
        <w:tc>
          <w:tcPr/>
          <w:p>
            <w:pPr>
              <w:pStyle w:val="Compact"/>
            </w:pPr>
            <w:r>
              <w:t xml:space="preserve">295</w:t>
            </w:r>
          </w:p>
        </w:tc>
        <w:tc>
          <w:tcPr/>
          <w:p>
            <w:pPr>
              <w:pStyle w:val="Compact"/>
            </w:pPr>
            <w:r>
              <w:t xml:space="preserve">55.0%</w:t>
            </w:r>
          </w:p>
        </w:tc>
        <w:tc>
          <w:tcPr/>
          <w:p>
            <w:pPr>
              <w:pStyle w:val="Compact"/>
            </w:pPr>
            <w:r>
              <w:t xml:space="preserve">2.51</w:t>
            </w:r>
          </w:p>
        </w:tc>
        <w:tc>
          <w:tcPr/>
          <w:p>
            <w:pPr>
              <w:pStyle w:val="Compact"/>
            </w:pPr>
            <w:r>
              <w:t xml:space="preserve">14.6%</w:t>
            </w:r>
          </w:p>
        </w:tc>
      </w:tr>
      <w:tr>
        <w:tc>
          <w:tcPr/>
          <w:p>
            <w:pPr>
              <w:pStyle w:val="Compact"/>
            </w:pPr>
            <w:r>
              <w:t xml:space="preserve">Victim identification</w:t>
            </w:r>
          </w:p>
        </w:tc>
        <w:tc>
          <w:tcPr/>
          <w:p>
            <w:pPr>
              <w:pStyle w:val="Compact"/>
            </w:pPr>
            <w:r>
              <w:t xml:space="preserve">95</w:t>
            </w:r>
          </w:p>
        </w:tc>
        <w:tc>
          <w:tcPr/>
          <w:p>
            <w:pPr>
              <w:pStyle w:val="Compact"/>
            </w:pPr>
            <w:r>
              <w:t xml:space="preserve">17.7%</w:t>
            </w:r>
          </w:p>
        </w:tc>
        <w:tc>
          <w:tcPr/>
          <w:p>
            <w:pPr>
              <w:pStyle w:val="Compact"/>
            </w:pPr>
            <w:r>
              <w:t xml:space="preserve">2.99</w:t>
            </w:r>
          </w:p>
        </w:tc>
        <w:tc>
          <w:tcPr/>
          <w:p>
            <w:pPr>
              <w:pStyle w:val="Compact"/>
            </w:pPr>
            <w:r>
              <w:t xml:space="preserve">25.3%</w:t>
            </w:r>
          </w:p>
        </w:tc>
      </w:tr>
      <w:tr>
        <w:tc>
          <w:tcPr/>
          <w:p>
            <w:pPr>
              <w:pStyle w:val="Compact"/>
            </w:pPr>
            <w:r>
              <w:t xml:space="preserve">Fabrication</w:t>
            </w:r>
          </w:p>
        </w:tc>
        <w:tc>
          <w:tcPr/>
          <w:p>
            <w:pPr>
              <w:pStyle w:val="Compact"/>
            </w:pPr>
            <w:r>
              <w:t xml:space="preserve">66</w:t>
            </w:r>
          </w:p>
        </w:tc>
        <w:tc>
          <w:tcPr/>
          <w:p>
            <w:pPr>
              <w:pStyle w:val="Compact"/>
            </w:pPr>
            <w:r>
              <w:t xml:space="preserve">12.3%</w:t>
            </w:r>
          </w:p>
        </w:tc>
        <w:tc>
          <w:tcPr/>
          <w:p>
            <w:pPr>
              <w:pStyle w:val="Compact"/>
            </w:pPr>
            <w:r>
              <w:t xml:space="preserve">3.24</w:t>
            </w:r>
          </w:p>
        </w:tc>
        <w:tc>
          <w:tcPr/>
          <w:p>
            <w:pPr>
              <w:pStyle w:val="Compact"/>
            </w:pPr>
            <w:r>
              <w:t xml:space="preserve">42.4%</w:t>
            </w:r>
          </w:p>
        </w:tc>
      </w:tr>
      <w:tr>
        <w:tc>
          <w:tcPr/>
          <w:p>
            <w:pPr>
              <w:pStyle w:val="Compact"/>
            </w:pPr>
            <w:r>
              <w:t xml:space="preserve">Witness misidentification</w:t>
            </w:r>
          </w:p>
        </w:tc>
        <w:tc>
          <w:tcPr/>
          <w:p>
            <w:pPr>
              <w:pStyle w:val="Compact"/>
            </w:pPr>
            <w:r>
              <w:t xml:space="preserve">41</w:t>
            </w:r>
          </w:p>
        </w:tc>
        <w:tc>
          <w:tcPr/>
          <w:p>
            <w:pPr>
              <w:pStyle w:val="Compact"/>
            </w:pPr>
            <w:r>
              <w:t xml:space="preserve">7.6%</w:t>
            </w:r>
          </w:p>
        </w:tc>
        <w:tc>
          <w:tcPr/>
          <w:p>
            <w:pPr>
              <w:pStyle w:val="Compact"/>
            </w:pPr>
            <w:r>
              <w:t xml:space="preserve">2.39</w:t>
            </w:r>
          </w:p>
        </w:tc>
        <w:tc>
          <w:tcPr/>
          <w:p>
            <w:pPr>
              <w:pStyle w:val="Compact"/>
            </w:pPr>
            <w:r>
              <w:t xml:space="preserve">7.3%</w:t>
            </w:r>
          </w:p>
        </w:tc>
      </w:tr>
      <w:tr>
        <w:tc>
          <w:tcPr/>
          <w:p>
            <w:pPr>
              <w:pStyle w:val="Compact"/>
            </w:pPr>
            <w:r>
              <w:t xml:space="preserve">Technical/database error</w:t>
            </w:r>
          </w:p>
        </w:tc>
        <w:tc>
          <w:tcPr/>
          <w:p>
            <w:pPr>
              <w:pStyle w:val="Compact"/>
            </w:pPr>
            <w:r>
              <w:t xml:space="preserve">26</w:t>
            </w:r>
          </w:p>
        </w:tc>
        <w:tc>
          <w:tcPr/>
          <w:p>
            <w:pPr>
              <w:pStyle w:val="Compact"/>
            </w:pPr>
            <w:r>
              <w:t xml:space="preserve">4.9%</w:t>
            </w:r>
          </w:p>
        </w:tc>
        <w:tc>
          <w:tcPr/>
          <w:p>
            <w:pPr>
              <w:pStyle w:val="Compact"/>
            </w:pPr>
            <w:r>
              <w:t xml:space="preserve">2.92</w:t>
            </w:r>
          </w:p>
        </w:tc>
        <w:tc>
          <w:tcPr/>
          <w:p>
            <w:pPr>
              <w:pStyle w:val="Compact"/>
            </w:pPr>
            <w:r>
              <w:t xml:space="preserve">30.8%</w:t>
            </w:r>
          </w:p>
        </w:tc>
      </w:tr>
      <w:tr>
        <w:tc>
          <w:tcPr/>
          <w:p>
            <w:pPr>
              <w:pStyle w:val="Compact"/>
            </w:pPr>
            <w:r>
              <w:t xml:space="preserve">Coerced interview</w:t>
            </w:r>
          </w:p>
        </w:tc>
        <w:tc>
          <w:tcPr/>
          <w:p>
            <w:pPr>
              <w:pStyle w:val="Compact"/>
            </w:pPr>
            <w:r>
              <w:t xml:space="preserve">12</w:t>
            </w:r>
          </w:p>
        </w:tc>
        <w:tc>
          <w:tcPr/>
          <w:p>
            <w:pPr>
              <w:pStyle w:val="Compact"/>
            </w:pPr>
            <w:r>
              <w:t xml:space="preserve">2.2%</w:t>
            </w:r>
          </w:p>
        </w:tc>
        <w:tc>
          <w:tcPr/>
          <w:p>
            <w:pPr>
              <w:pStyle w:val="Compact"/>
            </w:pPr>
            <w:r>
              <w:t xml:space="preserve">3.33</w:t>
            </w:r>
          </w:p>
        </w:tc>
        <w:tc>
          <w:tcPr/>
          <w:p>
            <w:pPr>
              <w:pStyle w:val="Compact"/>
            </w:pPr>
            <w:r>
              <w:t xml:space="preserve">50.0%</w:t>
            </w:r>
          </w:p>
        </w:tc>
      </w:tr>
      <w:tr>
        <w:tc>
          <w:tcPr/>
          <w:p>
            <w:pPr>
              <w:pStyle w:val="Compact"/>
            </w:pPr>
            <w:r>
              <w:t xml:space="preserve">Unknown</w:t>
            </w:r>
          </w:p>
        </w:tc>
        <w:tc>
          <w:tcPr/>
          <w:p>
            <w:pPr>
              <w:pStyle w:val="Compact"/>
            </w:pPr>
            <w:r>
              <w:t xml:space="preserve">1</w:t>
            </w:r>
          </w:p>
        </w:tc>
        <w:tc>
          <w:tcPr/>
          <w:p>
            <w:pPr>
              <w:pStyle w:val="Compact"/>
            </w:pPr>
            <w:r>
              <w:t xml:space="preserve">0.2%</w:t>
            </w:r>
          </w:p>
        </w:tc>
        <w:tc>
          <w:tcPr/>
          <w:p>
            <w:pPr>
              <w:pStyle w:val="Compact"/>
            </w:pPr>
            <w:r>
              <w:t xml:space="preserve">4.00</w:t>
            </w:r>
          </w:p>
        </w:tc>
        <w:tc>
          <w:tcPr/>
          <w:p>
            <w:pPr>
              <w:pStyle w:val="Compact"/>
            </w:pPr>
            <w:r>
              <w:t xml:space="preserve">100.0%</w:t>
            </w:r>
          </w:p>
        </w:tc>
      </w:tr>
    </w:tbl>
    <w:p>
      <w:pPr>
        <w:pStyle w:val="BodyText"/>
      </w:pPr>
      <w:r>
        <w:t xml:space="preserve">One reconciliation is needed here, because the dataset’s free-form tags tell what looks like a different story. The tag wrong_ID appears on 323 of the innocent rows and could be misread as evidence that misidentification is the leading cause. It is a different measurement. The tag marks an episode outcome,</w:t>
      </w:r>
      <w:r>
        <w:t xml:space="preserve"> </w:t>
      </w:r>
      <w:r>
        <w:t xml:space="preserve">“the squad had the wrong person,”</w:t>
      </w:r>
      <w:r>
        <w:t xml:space="preserve"> </w:t>
      </w:r>
      <w:r>
        <w:t xml:space="preserve">and among the 323 tagged rows the controlled origin field is squad inference in 195 (60.4%), victim identification in 68, and witness misidentification in only 31. The tag mostly sits on top of squad-inference origins. The controlled field, which records who first pointed the finger, is the correct basis for causal description, and on that field the squad’s own reasoning dominates.</w:t>
      </w:r>
    </w:p>
    <w:p>
      <w:pPr>
        <w:pStyle w:val="BodyText"/>
      </w:pPr>
      <w:r>
        <w:t xml:space="preserve">The severity columns of Table 4 carry a second finding. Fabrication and coerced interviews, the origins involving deliberate wrongdoing, produce the most catastrophic outcomes (42.4% and 50.0% severity 4, the latter on a small n of 12). Squad inference, the most common origin by a wide margin, produces the gentlest (14.6% severity 4, mean 2.51). When the script wants a catastrophe, it prefers a lying civilian to a mistaken detective. I return to this asymmetry in the discussion.</w:t>
      </w:r>
    </w:p>
    <w:bookmarkEnd w:id="25"/>
    <w:bookmarkStart w:id="26" w:name="exposure-and-the-media-multiplier"/>
    <w:p>
      <w:pPr>
        <w:pStyle w:val="Heading3"/>
      </w:pPr>
      <w:r>
        <w:t xml:space="preserve">4.5 Exposure and the media multiplier</w:t>
      </w:r>
    </w:p>
    <w:p>
      <w:pPr>
        <w:pStyle w:val="FirstParagraph"/>
      </w:pPr>
      <w:r>
        <w:t xml:space="preserve">For 386 of 536 persons (72.0%), the accusation spreads beyond law enforcement: to a workplace (146 persons, 27.2%), the family (92, 17.2%), the press (87, 16.2%), a school (20), the courts (14), a church (5), or online (2), with 20 persons exposed through multiple channels at once. Only 147 cases (27.4%) stay contained to the police. And the discloser is overwhelmingly the squad itself: detectives are the party who tell the employer, confront the person in public, or stage the arrest for an audience in 468 of 536 cases (87.3%). Victims disclose in 4.7% of cases, third parties in 3.7%, and the media originate the exposure in only 3.2%.</w:t>
      </w:r>
    </w:p>
    <w:p>
      <w:pPr>
        <w:pStyle w:val="BodyText"/>
      </w:pPr>
      <w:r>
        <w:t xml:space="preserve">Where the exposure lands determines how bad things get. Table 5 crosses channel with severity. Cases contained to the police average 2.05 in severity, with 8.8% reaching severity 4. Media exposure averages 3.32, with 46.0% reaching severity 4: a 5.2-fold multiplier on catastrophic outcomes relative to police-only cases. The small legal-exposure category runs even higher (57.1% severity 4 on n = 14). Workplace (15.1%) and family exposure (19.6%) sit in between.</w:t>
      </w:r>
    </w:p>
    <w:p>
      <w:pPr>
        <w:pStyle w:val="BodyText"/>
      </w:pPr>
      <w:r>
        <w:rPr>
          <w:b/>
          <w:bCs/>
        </w:rPr>
        <w:t xml:space="preserve">Table 5. Severity by exposure channel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n</w:t>
            </w:r>
          </w:p>
        </w:tc>
        <w:tc>
          <w:tcPr/>
          <w:p>
            <w:pPr>
              <w:pStyle w:val="Compact"/>
            </w:pPr>
            <w:r>
              <w:t xml:space="preserve">% of persons</w:t>
            </w:r>
          </w:p>
        </w:tc>
        <w:tc>
          <w:tcPr/>
          <w:p>
            <w:pPr>
              <w:pStyle w:val="Compact"/>
            </w:pPr>
            <w:r>
              <w:t xml:space="preserve">Mean severity</w:t>
            </w:r>
          </w:p>
        </w:tc>
        <w:tc>
          <w:tcPr/>
          <w:p>
            <w:pPr>
              <w:pStyle w:val="Compact"/>
            </w:pPr>
            <w:r>
              <w:t xml:space="preserve">% severity 4</w:t>
            </w:r>
          </w:p>
        </w:tc>
      </w:tr>
      <w:tr>
        <w:tc>
          <w:tcPr/>
          <w:p>
            <w:pPr>
              <w:pStyle w:val="Compact"/>
            </w:pPr>
            <w:r>
              <w:t xml:space="preserve">Police only</w:t>
            </w:r>
          </w:p>
        </w:tc>
        <w:tc>
          <w:tcPr/>
          <w:p>
            <w:pPr>
              <w:pStyle w:val="Compact"/>
            </w:pPr>
            <w:r>
              <w:t xml:space="preserve">147</w:t>
            </w:r>
          </w:p>
        </w:tc>
        <w:tc>
          <w:tcPr/>
          <w:p>
            <w:pPr>
              <w:pStyle w:val="Compact"/>
            </w:pPr>
            <w:r>
              <w:t xml:space="preserve">27.4%</w:t>
            </w:r>
          </w:p>
        </w:tc>
        <w:tc>
          <w:tcPr/>
          <w:p>
            <w:pPr>
              <w:pStyle w:val="Compact"/>
            </w:pPr>
            <w:r>
              <w:t xml:space="preserve">2.05</w:t>
            </w:r>
          </w:p>
        </w:tc>
        <w:tc>
          <w:tcPr/>
          <w:p>
            <w:pPr>
              <w:pStyle w:val="Compact"/>
            </w:pPr>
            <w:r>
              <w:t xml:space="preserve">8.8%</w:t>
            </w:r>
          </w:p>
        </w:tc>
      </w:tr>
      <w:tr>
        <w:tc>
          <w:tcPr/>
          <w:p>
            <w:pPr>
              <w:pStyle w:val="Compact"/>
            </w:pPr>
            <w:r>
              <w:t xml:space="preserve">Workplace</w:t>
            </w:r>
          </w:p>
        </w:tc>
        <w:tc>
          <w:tcPr/>
          <w:p>
            <w:pPr>
              <w:pStyle w:val="Compact"/>
            </w:pPr>
            <w:r>
              <w:t xml:space="preserve">146</w:t>
            </w:r>
          </w:p>
        </w:tc>
        <w:tc>
          <w:tcPr/>
          <w:p>
            <w:pPr>
              <w:pStyle w:val="Compact"/>
            </w:pPr>
            <w:r>
              <w:t xml:space="preserve">27.2%</w:t>
            </w:r>
          </w:p>
        </w:tc>
        <w:tc>
          <w:tcPr/>
          <w:p>
            <w:pPr>
              <w:pStyle w:val="Compact"/>
            </w:pPr>
            <w:r>
              <w:t xml:space="preserve">2.77</w:t>
            </w:r>
          </w:p>
        </w:tc>
        <w:tc>
          <w:tcPr/>
          <w:p>
            <w:pPr>
              <w:pStyle w:val="Compact"/>
            </w:pPr>
            <w:r>
              <w:t xml:space="preserve">15.1%</w:t>
            </w:r>
          </w:p>
        </w:tc>
      </w:tr>
      <w:tr>
        <w:tc>
          <w:tcPr/>
          <w:p>
            <w:pPr>
              <w:pStyle w:val="Compact"/>
            </w:pPr>
            <w:r>
              <w:t xml:space="preserve">Family</w:t>
            </w:r>
          </w:p>
        </w:tc>
        <w:tc>
          <w:tcPr/>
          <w:p>
            <w:pPr>
              <w:pStyle w:val="Compact"/>
            </w:pPr>
            <w:r>
              <w:t xml:space="preserve">92</w:t>
            </w:r>
          </w:p>
        </w:tc>
        <w:tc>
          <w:tcPr/>
          <w:p>
            <w:pPr>
              <w:pStyle w:val="Compact"/>
            </w:pPr>
            <w:r>
              <w:t xml:space="preserve">17.2%</w:t>
            </w:r>
          </w:p>
        </w:tc>
        <w:tc>
          <w:tcPr/>
          <w:p>
            <w:pPr>
              <w:pStyle w:val="Compact"/>
            </w:pPr>
            <w:r>
              <w:t xml:space="preserve">2.84</w:t>
            </w:r>
          </w:p>
        </w:tc>
        <w:tc>
          <w:tcPr/>
          <w:p>
            <w:pPr>
              <w:pStyle w:val="Compact"/>
            </w:pPr>
            <w:r>
              <w:t xml:space="preserve">19.6%</w:t>
            </w:r>
          </w:p>
        </w:tc>
      </w:tr>
      <w:tr>
        <w:tc>
          <w:tcPr/>
          <w:p>
            <w:pPr>
              <w:pStyle w:val="Compact"/>
            </w:pPr>
            <w:r>
              <w:t xml:space="preserve">Media</w:t>
            </w:r>
          </w:p>
        </w:tc>
        <w:tc>
          <w:tcPr/>
          <w:p>
            <w:pPr>
              <w:pStyle w:val="Compact"/>
            </w:pPr>
            <w:r>
              <w:t xml:space="preserve">87</w:t>
            </w:r>
          </w:p>
        </w:tc>
        <w:tc>
          <w:tcPr/>
          <w:p>
            <w:pPr>
              <w:pStyle w:val="Compact"/>
            </w:pPr>
            <w:r>
              <w:t xml:space="preserve">16.2%</w:t>
            </w:r>
          </w:p>
        </w:tc>
        <w:tc>
          <w:tcPr/>
          <w:p>
            <w:pPr>
              <w:pStyle w:val="Compact"/>
            </w:pPr>
            <w:r>
              <w:t xml:space="preserve">3.32</w:t>
            </w:r>
          </w:p>
        </w:tc>
        <w:tc>
          <w:tcPr/>
          <w:p>
            <w:pPr>
              <w:pStyle w:val="Compact"/>
            </w:pPr>
            <w:r>
              <w:t xml:space="preserve">46.0%</w:t>
            </w:r>
          </w:p>
        </w:tc>
      </w:tr>
      <w:tr>
        <w:tc>
          <w:tcPr/>
          <w:p>
            <w:pPr>
              <w:pStyle w:val="Compact"/>
            </w:pPr>
            <w:r>
              <w:t xml:space="preserve">Multiple</w:t>
            </w:r>
          </w:p>
        </w:tc>
        <w:tc>
          <w:tcPr/>
          <w:p>
            <w:pPr>
              <w:pStyle w:val="Compact"/>
            </w:pPr>
            <w:r>
              <w:t xml:space="preserve">20</w:t>
            </w:r>
          </w:p>
        </w:tc>
        <w:tc>
          <w:tcPr/>
          <w:p>
            <w:pPr>
              <w:pStyle w:val="Compact"/>
            </w:pPr>
            <w:r>
              <w:t xml:space="preserve">3.7%</w:t>
            </w:r>
          </w:p>
        </w:tc>
        <w:tc>
          <w:tcPr/>
          <w:p>
            <w:pPr>
              <w:pStyle w:val="Compact"/>
            </w:pPr>
            <w:r>
              <w:t xml:space="preserve">3.30</w:t>
            </w:r>
          </w:p>
        </w:tc>
        <w:tc>
          <w:tcPr/>
          <w:p>
            <w:pPr>
              <w:pStyle w:val="Compact"/>
            </w:pPr>
            <w:r>
              <w:t xml:space="preserve">30.0%</w:t>
            </w:r>
          </w:p>
        </w:tc>
      </w:tr>
      <w:tr>
        <w:tc>
          <w:tcPr/>
          <w:p>
            <w:pPr>
              <w:pStyle w:val="Compact"/>
            </w:pPr>
            <w:r>
              <w:t xml:space="preserve">School</w:t>
            </w:r>
          </w:p>
        </w:tc>
        <w:tc>
          <w:tcPr/>
          <w:p>
            <w:pPr>
              <w:pStyle w:val="Compact"/>
            </w:pPr>
            <w:r>
              <w:t xml:space="preserve">20</w:t>
            </w:r>
          </w:p>
        </w:tc>
        <w:tc>
          <w:tcPr/>
          <w:p>
            <w:pPr>
              <w:pStyle w:val="Compact"/>
            </w:pPr>
            <w:r>
              <w:t xml:space="preserve">3.7%</w:t>
            </w:r>
          </w:p>
        </w:tc>
        <w:tc>
          <w:tcPr/>
          <w:p>
            <w:pPr>
              <w:pStyle w:val="Compact"/>
            </w:pPr>
            <w:r>
              <w:t xml:space="preserve">3.00</w:t>
            </w:r>
          </w:p>
        </w:tc>
        <w:tc>
          <w:tcPr/>
          <w:p>
            <w:pPr>
              <w:pStyle w:val="Compact"/>
            </w:pPr>
            <w:r>
              <w:t xml:space="preserve">20.0%</w:t>
            </w:r>
          </w:p>
        </w:tc>
      </w:tr>
      <w:tr>
        <w:tc>
          <w:tcPr/>
          <w:p>
            <w:pPr>
              <w:pStyle w:val="Compact"/>
            </w:pPr>
            <w:r>
              <w:t xml:space="preserve">Legal</w:t>
            </w:r>
          </w:p>
        </w:tc>
        <w:tc>
          <w:tcPr/>
          <w:p>
            <w:pPr>
              <w:pStyle w:val="Compact"/>
            </w:pPr>
            <w:r>
              <w:t xml:space="preserve">14</w:t>
            </w:r>
          </w:p>
        </w:tc>
        <w:tc>
          <w:tcPr/>
          <w:p>
            <w:pPr>
              <w:pStyle w:val="Compact"/>
            </w:pPr>
            <w:r>
              <w:t xml:space="preserve">2.6%</w:t>
            </w:r>
          </w:p>
        </w:tc>
        <w:tc>
          <w:tcPr/>
          <w:p>
            <w:pPr>
              <w:pStyle w:val="Compact"/>
            </w:pPr>
            <w:r>
              <w:t xml:space="preserve">3.57</w:t>
            </w:r>
          </w:p>
        </w:tc>
        <w:tc>
          <w:tcPr/>
          <w:p>
            <w:pPr>
              <w:pStyle w:val="Compact"/>
            </w:pPr>
            <w:r>
              <w:t xml:space="preserve">57.1%</w:t>
            </w:r>
          </w:p>
        </w:tc>
      </w:tr>
      <w:tr>
        <w:tc>
          <w:tcPr/>
          <w:p>
            <w:pPr>
              <w:pStyle w:val="Compact"/>
            </w:pPr>
            <w:r>
              <w:t xml:space="preserve">Church</w:t>
            </w:r>
          </w:p>
        </w:tc>
        <w:tc>
          <w:tcPr/>
          <w:p>
            <w:pPr>
              <w:pStyle w:val="Compact"/>
            </w:pPr>
            <w:r>
              <w:t xml:space="preserve">5</w:t>
            </w:r>
          </w:p>
        </w:tc>
        <w:tc>
          <w:tcPr/>
          <w:p>
            <w:pPr>
              <w:pStyle w:val="Compact"/>
            </w:pPr>
            <w:r>
              <w:t xml:space="preserve">0.9%</w:t>
            </w:r>
          </w:p>
        </w:tc>
        <w:tc>
          <w:tcPr/>
          <w:p>
            <w:pPr>
              <w:pStyle w:val="Compact"/>
            </w:pPr>
            <w:r>
              <w:t xml:space="preserve">3.00</w:t>
            </w:r>
          </w:p>
        </w:tc>
        <w:tc>
          <w:tcPr/>
          <w:p>
            <w:pPr>
              <w:pStyle w:val="Compact"/>
            </w:pPr>
            <w:r>
              <w:t xml:space="preserve">40.0%</w:t>
            </w:r>
          </w:p>
        </w:tc>
      </w:tr>
      <w:tr>
        <w:tc>
          <w:tcPr/>
          <w:p>
            <w:pPr>
              <w:pStyle w:val="Compact"/>
            </w:pPr>
            <w:r>
              <w:t xml:space="preserve">Unknown</w:t>
            </w:r>
          </w:p>
        </w:tc>
        <w:tc>
          <w:tcPr/>
          <w:p>
            <w:pPr>
              <w:pStyle w:val="Compact"/>
            </w:pPr>
            <w:r>
              <w:t xml:space="preserve">3</w:t>
            </w:r>
          </w:p>
        </w:tc>
        <w:tc>
          <w:tcPr/>
          <w:p>
            <w:pPr>
              <w:pStyle w:val="Compact"/>
            </w:pPr>
            <w:r>
              <w:t xml:space="preserve">0.6%</w:t>
            </w:r>
          </w:p>
        </w:tc>
        <w:tc>
          <w:tcPr/>
          <w:p>
            <w:pPr>
              <w:pStyle w:val="Compact"/>
            </w:pPr>
            <w:r>
              <w:t xml:space="preserve">1.00</w:t>
            </w:r>
          </w:p>
        </w:tc>
        <w:tc>
          <w:tcPr/>
          <w:p>
            <w:pPr>
              <w:pStyle w:val="Compact"/>
            </w:pPr>
            <w:r>
              <w:t xml:space="preserve">0.0%</w:t>
            </w:r>
          </w:p>
        </w:tc>
      </w:tr>
      <w:tr>
        <w:tc>
          <w:tcPr/>
          <w:p>
            <w:pPr>
              <w:pStyle w:val="Compact"/>
            </w:pPr>
            <w:r>
              <w:t xml:space="preserve">Online</w:t>
            </w:r>
          </w:p>
        </w:tc>
        <w:tc>
          <w:tcPr/>
          <w:p>
            <w:pPr>
              <w:pStyle w:val="Compact"/>
            </w:pPr>
            <w:r>
              <w:t xml:space="preserve">2</w:t>
            </w:r>
          </w:p>
        </w:tc>
        <w:tc>
          <w:tcPr/>
          <w:p>
            <w:pPr>
              <w:pStyle w:val="Compact"/>
            </w:pPr>
            <w:r>
              <w:t xml:space="preserve">0.4%</w:t>
            </w:r>
          </w:p>
        </w:tc>
        <w:tc>
          <w:tcPr/>
          <w:p>
            <w:pPr>
              <w:pStyle w:val="Compact"/>
            </w:pPr>
            <w:r>
              <w:t xml:space="preserve">3.00</w:t>
            </w:r>
          </w:p>
        </w:tc>
        <w:tc>
          <w:tcPr/>
          <w:p>
            <w:pPr>
              <w:pStyle w:val="Compact"/>
            </w:pPr>
            <w:r>
              <w:t xml:space="preserve">0.0%</w:t>
            </w:r>
          </w:p>
        </w:tc>
      </w:tr>
    </w:tbl>
    <w:p>
      <w:pPr>
        <w:pStyle w:val="BodyText"/>
      </w:pPr>
      <w:r>
        <w:t xml:space="preserve">Read together, the two facts are damning on the show’s own terms: publicity is the accelerant of harm, and the squad holds the match 87.3% of the time.</w:t>
      </w:r>
    </w:p>
    <w:bookmarkEnd w:id="26"/>
    <w:bookmarkStart w:id="27" w:name="how-detectives-treat-the-innocent"/>
    <w:p>
      <w:pPr>
        <w:pStyle w:val="Heading3"/>
      </w:pPr>
      <w:r>
        <w:t xml:space="preserve">4.6 How detectives treat the innocent</w:t>
      </w:r>
    </w:p>
    <w:p>
      <w:pPr>
        <w:pStyle w:val="FirstParagraph"/>
      </w:pPr>
      <w:r>
        <w:t xml:space="preserve">Just over half of the innocent persons in the dataset, 281 of 536 (52.4%), are threatened, coerced, or degraded by detectives at some point in their episode. Table 6 gives the breakdown: verbal threats (110 persons, 20.5%), coercive tactics such as fabricated evidence claims or false promises (69, 12.9%), insult and degradation (46, 8.6%), and combinations of these (56, 10.4%).</w:t>
      </w:r>
    </w:p>
    <w:p>
      <w:pPr>
        <w:pStyle w:val="BodyText"/>
      </w:pPr>
      <w:r>
        <w:rPr>
          <w:b/>
          <w:bCs/>
        </w:rPr>
        <w:t xml:space="preserve">Table 6. Police conduct toward the innocent person (n = 536)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Conduct</w:t>
            </w:r>
          </w:p>
        </w:tc>
        <w:tc>
          <w:tcPr/>
          <w:p>
            <w:pPr>
              <w:pStyle w:val="Compact"/>
            </w:pPr>
            <w:r>
              <w:t xml:space="preserve">n</w:t>
            </w:r>
          </w:p>
        </w:tc>
        <w:tc>
          <w:tcPr/>
          <w:p>
            <w:pPr>
              <w:pStyle w:val="Compact"/>
            </w:pPr>
            <w:r>
              <w:t xml:space="preserve">%</w:t>
            </w:r>
          </w:p>
        </w:tc>
      </w:tr>
      <w:tr>
        <w:tc>
          <w:tcPr/>
          <w:p>
            <w:pPr>
              <w:pStyle w:val="Compact"/>
            </w:pPr>
            <w:r>
              <w:t xml:space="preserve">None documented</w:t>
            </w:r>
          </w:p>
        </w:tc>
        <w:tc>
          <w:tcPr/>
          <w:p>
            <w:pPr>
              <w:pStyle w:val="Compact"/>
            </w:pPr>
            <w:r>
              <w:t xml:space="preserve">255</w:t>
            </w:r>
          </w:p>
        </w:tc>
        <w:tc>
          <w:tcPr/>
          <w:p>
            <w:pPr>
              <w:pStyle w:val="Compact"/>
            </w:pPr>
            <w:r>
              <w:t xml:space="preserve">47.6%</w:t>
            </w:r>
          </w:p>
        </w:tc>
      </w:tr>
      <w:tr>
        <w:tc>
          <w:tcPr/>
          <w:p>
            <w:pPr>
              <w:pStyle w:val="Compact"/>
            </w:pPr>
            <w:r>
              <w:t xml:space="preserve">Verbal threat</w:t>
            </w:r>
          </w:p>
        </w:tc>
        <w:tc>
          <w:tcPr/>
          <w:p>
            <w:pPr>
              <w:pStyle w:val="Compact"/>
            </w:pPr>
            <w:r>
              <w:t xml:space="preserve">110</w:t>
            </w:r>
          </w:p>
        </w:tc>
        <w:tc>
          <w:tcPr/>
          <w:p>
            <w:pPr>
              <w:pStyle w:val="Compact"/>
            </w:pPr>
            <w:r>
              <w:t xml:space="preserve">20.5%</w:t>
            </w:r>
          </w:p>
        </w:tc>
      </w:tr>
      <w:tr>
        <w:tc>
          <w:tcPr/>
          <w:p>
            <w:pPr>
              <w:pStyle w:val="Compact"/>
            </w:pPr>
            <w:r>
              <w:t xml:space="preserve">Coercive tactic</w:t>
            </w:r>
          </w:p>
        </w:tc>
        <w:tc>
          <w:tcPr/>
          <w:p>
            <w:pPr>
              <w:pStyle w:val="Compact"/>
            </w:pPr>
            <w:r>
              <w:t xml:space="preserve">69</w:t>
            </w:r>
          </w:p>
        </w:tc>
        <w:tc>
          <w:tcPr/>
          <w:p>
            <w:pPr>
              <w:pStyle w:val="Compact"/>
            </w:pPr>
            <w:r>
              <w:t xml:space="preserve">12.9%</w:t>
            </w:r>
          </w:p>
        </w:tc>
      </w:tr>
      <w:tr>
        <w:tc>
          <w:tcPr/>
          <w:p>
            <w:pPr>
              <w:pStyle w:val="Compact"/>
            </w:pPr>
            <w:r>
              <w:t xml:space="preserve">Multiple types</w:t>
            </w:r>
          </w:p>
        </w:tc>
        <w:tc>
          <w:tcPr/>
          <w:p>
            <w:pPr>
              <w:pStyle w:val="Compact"/>
            </w:pPr>
            <w:r>
              <w:t xml:space="preserve">56</w:t>
            </w:r>
          </w:p>
        </w:tc>
        <w:tc>
          <w:tcPr/>
          <w:p>
            <w:pPr>
              <w:pStyle w:val="Compact"/>
            </w:pPr>
            <w:r>
              <w:t xml:space="preserve">10.4%</w:t>
            </w:r>
          </w:p>
        </w:tc>
      </w:tr>
      <w:tr>
        <w:tc>
          <w:tcPr/>
          <w:p>
            <w:pPr>
              <w:pStyle w:val="Compact"/>
            </w:pPr>
            <w:r>
              <w:t xml:space="preserve">Insult or degradation</w:t>
            </w:r>
          </w:p>
        </w:tc>
        <w:tc>
          <w:tcPr/>
          <w:p>
            <w:pPr>
              <w:pStyle w:val="Compact"/>
            </w:pPr>
            <w:r>
              <w:t xml:space="preserve">46</w:t>
            </w:r>
          </w:p>
        </w:tc>
        <w:tc>
          <w:tcPr/>
          <w:p>
            <w:pPr>
              <w:pStyle w:val="Compact"/>
            </w:pPr>
            <w:r>
              <w:t xml:space="preserve">8.6%</w:t>
            </w:r>
          </w:p>
        </w:tc>
      </w:tr>
      <w:tr>
        <w:tc>
          <w:tcPr/>
          <w:p>
            <w:pPr>
              <w:pStyle w:val="Compact"/>
            </w:pPr>
            <w:r>
              <w:rPr>
                <w:b/>
                <w:bCs/>
              </w:rPr>
              <w:t xml:space="preserve">Any threat, coercion, or degradation</w:t>
            </w:r>
          </w:p>
        </w:tc>
        <w:tc>
          <w:tcPr/>
          <w:p>
            <w:pPr>
              <w:pStyle w:val="Compact"/>
            </w:pPr>
            <w:r>
              <w:rPr>
                <w:b/>
                <w:bCs/>
              </w:rPr>
              <w:t xml:space="preserve">281</w:t>
            </w:r>
          </w:p>
        </w:tc>
        <w:tc>
          <w:tcPr/>
          <w:p>
            <w:pPr>
              <w:pStyle w:val="Compact"/>
            </w:pPr>
            <w:r>
              <w:rPr>
                <w:b/>
                <w:bCs/>
              </w:rPr>
              <w:t xml:space="preserve">52.4%</w:t>
            </w:r>
          </w:p>
        </w:tc>
      </w:tr>
    </w:tbl>
    <w:p>
      <w:pPr>
        <w:pStyle w:val="BodyText"/>
      </w:pPr>
      <w:r>
        <w:t xml:space="preserve">The transcripts put flesh on those categories. In S01E12, Detective Benson threatens a sex worker named Katya Ivanova with deportation:</w:t>
      </w:r>
      <w:r>
        <w:t xml:space="preserve"> </w:t>
      </w:r>
      <w:r>
        <w:t xml:space="preserve">“We know you’re illegal… if you’re not at our office by 9:00 a.m., Immigration will be at your house by 9:05. That I can personally guarantee you.”</w:t>
      </w:r>
      <w:r>
        <w:t xml:space="preserve"> </w:t>
      </w:r>
      <w:r>
        <w:t xml:space="preserve">In S07E20, a detective works a 14-year-old, Mia Bixton, without her mother present:</w:t>
      </w:r>
      <w:r>
        <w:t xml:space="preserve"> </w:t>
      </w:r>
      <w:r>
        <w:t xml:space="preserve">“Tell us the truth, and it counts in your favor. It counts a lot… once your mother shows up, the lawyers show up. And then truth time is over.”</w:t>
      </w:r>
      <w:r>
        <w:t xml:space="preserve"> </w:t>
      </w:r>
      <w:r>
        <w:t xml:space="preserve">In S03E06, a retired detective recalls manufacturing the case against Roger Berry:</w:t>
      </w:r>
      <w:r>
        <w:t xml:space="preserve"> </w:t>
      </w:r>
      <w:r>
        <w:t xml:space="preserve">“I put Roger in the box and I grilled him over and over and over, till I convinced myself he’d been in those apartments. I fed him every detail of the case.”</w:t>
      </w:r>
      <w:r>
        <w:t xml:space="preserve"> </w:t>
      </w:r>
      <w:r>
        <w:t xml:space="preserve">In S22E10, Detective Tutuola tells Lonnie Liston, an innocent man the squad has already gotten fired:</w:t>
      </w:r>
      <w:r>
        <w:t xml:space="preserve"> </w:t>
      </w:r>
      <w:r>
        <w:t xml:space="preserve">“You don’t have a job anymore. And if I were you, I wouldn’t go out there.”</w:t>
      </w:r>
      <w:r>
        <w:t xml:space="preserve"> </w:t>
      </w:r>
      <w:r>
        <w:t xml:space="preserve">Liston is later tortured and murdered by vigilantes. And in S21E06, Carlos Hernandez describes the interrogation that took 16 years of his life:</w:t>
      </w:r>
      <w:r>
        <w:t xml:space="preserve"> </w:t>
      </w:r>
      <w:r>
        <w:t xml:space="preserve">“Detective Monte and the DA told me if I didn’t confess, that I’d get the sayonara syringe. Man, I was 18. I didn’t have no mommy no more to help me.”</w:t>
      </w:r>
    </w:p>
    <w:p>
      <w:pPr>
        <w:pStyle w:val="BodyText"/>
      </w:pPr>
      <w:r>
        <w:t xml:space="preserve">The coercion sometimes manufactures the very confession that convicts. In S10E19, detectives and an ADA work Ashlee Walker, a young mother, until she supplies the memory they need:</w:t>
      </w:r>
      <w:r>
        <w:t xml:space="preserve"> </w:t>
      </w:r>
      <w:r>
        <w:t xml:space="preserve">“I must have hit her so hard, I killed my baby.”</w:t>
      </w:r>
      <w:r>
        <w:t xml:space="preserve"> </w:t>
      </w:r>
      <w:r>
        <w:t xml:space="preserve">The ADA then tells her the truth:</w:t>
      </w:r>
      <w:r>
        <w:t xml:space="preserve"> </w:t>
      </w:r>
      <w:r>
        <w:t xml:space="preserve">“No, you didn’t… Sierra died from measles.”</w:t>
      </w:r>
      <w:r>
        <w:t xml:space="preserve"> </w:t>
      </w:r>
      <w:r>
        <w:t xml:space="preserve">The scene is played for pathos, and the technique that produced the false confession is never revisited. In S04E02, the threat is actuarial:</w:t>
      </w:r>
      <w:r>
        <w:t xml:space="preserve"> </w:t>
      </w:r>
      <w:r>
        <w:t xml:space="preserve">“We got your DNA to match to the rape kit. That alone will get you 12-and-a-half to 25 years of personal training at Attica… Your parole officer hasn’t even been born yet.”</w:t>
      </w:r>
      <w:r>
        <w:t xml:space="preserve"> </w:t>
      </w:r>
      <w:r>
        <w:t xml:space="preserve">The man being threatened, Frank Barbarossa, is innocent.</w:t>
      </w:r>
    </w:p>
    <w:p>
      <w:pPr>
        <w:pStyle w:val="BodyText"/>
      </w:pPr>
      <w:r>
        <w:t xml:space="preserve">These are the show’s heroes and its villains alike; the dataset does not distinguish beloved series regulars from one-episode bad cops. What it records is that the person on the receiving end was innocent, and that the behavior occurs in more than half of all qualifying cases.</w:t>
      </w:r>
    </w:p>
    <w:bookmarkEnd w:id="27"/>
    <w:bookmarkStart w:id="28" w:name="the-apology-gradient"/>
    <w:p>
      <w:pPr>
        <w:pStyle w:val="Heading3"/>
      </w:pPr>
      <w:r>
        <w:t xml:space="preserve">4.7 The apology gradient</w:t>
      </w:r>
    </w:p>
    <w:p>
      <w:pPr>
        <w:pStyle w:val="FirstParagraph"/>
      </w:pPr>
      <w:r>
        <w:t xml:space="preserve">Acknowledgment is where the numbers get quiet. Across 536 innocent persons, detectives offer no apology at all in 493 cases (92.0%). Partial apologies, softened language without responsibility, occur 32 times (6.0%). Formal on-screen acknowledgment of the wrongful accusation occurs 9 times: 1.7% of cases, spread over 27 seasons, and covering only 8 unique persons, because Stephanie Mulroney receives the same apology in two episodes of a continuing season-1 storyline (Table 7).</w:t>
      </w:r>
    </w:p>
    <w:p>
      <w:pPr>
        <w:pStyle w:val="BodyText"/>
      </w:pPr>
      <w:r>
        <w:rPr>
          <w:b/>
          <w:bCs/>
        </w:rPr>
        <w:t xml:space="preserve">Table 7. Police apology (n = 536 persons)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Apology</w:t>
            </w:r>
          </w:p>
        </w:tc>
        <w:tc>
          <w:tcPr/>
          <w:p>
            <w:pPr>
              <w:pStyle w:val="Compact"/>
            </w:pPr>
            <w:r>
              <w:t xml:space="preserve">n</w:t>
            </w:r>
          </w:p>
        </w:tc>
        <w:tc>
          <w:tcPr/>
          <w:p>
            <w:pPr>
              <w:pStyle w:val="Compact"/>
            </w:pPr>
            <w:r>
              <w:t xml:space="preserve">%</w:t>
            </w:r>
          </w:p>
        </w:tc>
      </w:tr>
      <w:tr>
        <w:tc>
          <w:tcPr/>
          <w:p>
            <w:pPr>
              <w:pStyle w:val="Compact"/>
            </w:pPr>
            <w:r>
              <w:t xml:space="preserve">None</w:t>
            </w:r>
          </w:p>
        </w:tc>
        <w:tc>
          <w:tcPr/>
          <w:p>
            <w:pPr>
              <w:pStyle w:val="Compact"/>
            </w:pPr>
            <w:r>
              <w:t xml:space="preserve">493</w:t>
            </w:r>
          </w:p>
        </w:tc>
        <w:tc>
          <w:tcPr/>
          <w:p>
            <w:pPr>
              <w:pStyle w:val="Compact"/>
            </w:pPr>
            <w:r>
              <w:t xml:space="preserve">92.0%</w:t>
            </w:r>
          </w:p>
        </w:tc>
      </w:tr>
      <w:tr>
        <w:tc>
          <w:tcPr/>
          <w:p>
            <w:pPr>
              <w:pStyle w:val="Compact"/>
            </w:pPr>
            <w:r>
              <w:t xml:space="preserve">Partial</w:t>
            </w:r>
          </w:p>
        </w:tc>
        <w:tc>
          <w:tcPr/>
          <w:p>
            <w:pPr>
              <w:pStyle w:val="Compact"/>
            </w:pPr>
            <w:r>
              <w:t xml:space="preserve">32</w:t>
            </w:r>
          </w:p>
        </w:tc>
        <w:tc>
          <w:tcPr/>
          <w:p>
            <w:pPr>
              <w:pStyle w:val="Compact"/>
            </w:pPr>
            <w:r>
              <w:t xml:space="preserve">6.0%</w:t>
            </w:r>
          </w:p>
        </w:tc>
      </w:tr>
      <w:tr>
        <w:tc>
          <w:tcPr/>
          <w:p>
            <w:pPr>
              <w:pStyle w:val="Compact"/>
            </w:pPr>
            <w:r>
              <w:t xml:space="preserve">Formal</w:t>
            </w:r>
          </w:p>
        </w:tc>
        <w:tc>
          <w:tcPr/>
          <w:p>
            <w:pPr>
              <w:pStyle w:val="Compact"/>
            </w:pPr>
            <w:r>
              <w:t xml:space="preserve">9</w:t>
            </w:r>
          </w:p>
        </w:tc>
        <w:tc>
          <w:tcPr/>
          <w:p>
            <w:pPr>
              <w:pStyle w:val="Compact"/>
            </w:pPr>
            <w:r>
              <w:t xml:space="preserve">1.7%</w:t>
            </w:r>
          </w:p>
        </w:tc>
      </w:tr>
      <w:tr>
        <w:tc>
          <w:tcPr/>
          <w:p>
            <w:pPr>
              <w:pStyle w:val="Compact"/>
            </w:pPr>
            <w:r>
              <w:t xml:space="preserve">Unknown</w:t>
            </w:r>
          </w:p>
        </w:tc>
        <w:tc>
          <w:tcPr/>
          <w:p>
            <w:pPr>
              <w:pStyle w:val="Compact"/>
            </w:pPr>
            <w:r>
              <w:t xml:space="preserve">2</w:t>
            </w:r>
          </w:p>
        </w:tc>
        <w:tc>
          <w:tcPr/>
          <w:p>
            <w:pPr>
              <w:pStyle w:val="Compact"/>
            </w:pPr>
            <w:r>
              <w:t xml:space="preserve">0.4%</w:t>
            </w:r>
          </w:p>
        </w:tc>
      </w:tr>
      <w:tr>
        <w:tc>
          <w:tcPr/>
          <w:p>
            <w:pPr>
              <w:pStyle w:val="Compact"/>
            </w:pPr>
            <w:r>
              <w:rPr>
                <w:b/>
                <w:bCs/>
              </w:rPr>
              <w:t xml:space="preserve">Any apology (partial + formal)</w:t>
            </w:r>
          </w:p>
        </w:tc>
        <w:tc>
          <w:tcPr/>
          <w:p>
            <w:pPr>
              <w:pStyle w:val="Compact"/>
            </w:pPr>
            <w:r>
              <w:rPr>
                <w:b/>
                <w:bCs/>
              </w:rPr>
              <w:t xml:space="preserve">41</w:t>
            </w:r>
          </w:p>
        </w:tc>
        <w:tc>
          <w:tcPr/>
          <w:p>
            <w:pPr>
              <w:pStyle w:val="Compact"/>
            </w:pPr>
            <w:r>
              <w:rPr>
                <w:b/>
                <w:bCs/>
              </w:rPr>
              <w:t xml:space="preserve">7.6%</w:t>
            </w:r>
          </w:p>
        </w:tc>
      </w:tr>
    </w:tbl>
    <w:p>
      <w:pPr>
        <w:pStyle w:val="BodyText"/>
      </w:pPr>
      <w:r>
        <w:t xml:space="preserve">Who gets the 41 apologies is more revealing than how few there are. Table 8 shows the severity gradient: none of the 62 severity-1 persons receives even a partial apology; severity-2 and severity-3 persons receive one 6.4% and 5.4% of the time; severity-4 persons, the destroyed and the dead, receive one 17.7% of the time, and six of the nine formal apologies belong to them. Misconduct, by contrast, moves the rate by nothing measurable: persons who were threatened or coerced are apologized to at 7.8%, persons who were treated correctly at 7.5%. Apology in this fiction tracks catastrophe, never conduct. Detectives say sorry when someone is ruined or dead, at odds of about one in six; they do not say sorry because of anything they themselves did.</w:t>
      </w:r>
    </w:p>
    <w:p>
      <w:pPr>
        <w:pStyle w:val="BodyText"/>
      </w:pPr>
      <w:r>
        <w:rPr>
          <w:b/>
          <w:bCs/>
        </w:rPr>
        <w:t xml:space="preserve">Table 8. Apology by severity and by police conduct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Any apology</w:t>
            </w:r>
          </w:p>
        </w:tc>
        <w:tc>
          <w:tcPr/>
          <w:p>
            <w:pPr>
              <w:pStyle w:val="Compact"/>
            </w:pPr>
            <w:r>
              <w:t xml:space="preserve">Rate</w:t>
            </w:r>
          </w:p>
        </w:tc>
        <w:tc>
          <w:tcPr/>
          <w:p>
            <w:pPr>
              <w:pStyle w:val="Compact"/>
            </w:pPr>
            <w:r>
              <w:t xml:space="preserve">Formal</w:t>
            </w:r>
          </w:p>
        </w:tc>
      </w:tr>
      <w:tr>
        <w:tc>
          <w:tcPr/>
          <w:p>
            <w:pPr>
              <w:pStyle w:val="Compact"/>
            </w:pPr>
            <w:r>
              <w:t xml:space="preserve">Severity 1</w:t>
            </w:r>
          </w:p>
        </w:tc>
        <w:tc>
          <w:tcPr/>
          <w:p>
            <w:pPr>
              <w:pStyle w:val="Compact"/>
            </w:pPr>
            <w:r>
              <w:t xml:space="preserve">62</w:t>
            </w:r>
          </w:p>
        </w:tc>
        <w:tc>
          <w:tcPr/>
          <w:p>
            <w:pPr>
              <w:pStyle w:val="Compact"/>
            </w:pPr>
            <w:r>
              <w:t xml:space="preserve">0</w:t>
            </w:r>
          </w:p>
        </w:tc>
        <w:tc>
          <w:tcPr/>
          <w:p>
            <w:pPr>
              <w:pStyle w:val="Compact"/>
            </w:pPr>
            <w:r>
              <w:t xml:space="preserve">0.0%</w:t>
            </w:r>
          </w:p>
        </w:tc>
        <w:tc>
          <w:tcPr/>
          <w:p>
            <w:pPr>
              <w:pStyle w:val="Compact"/>
            </w:pPr>
            <w:r>
              <w:t xml:space="preserve">0</w:t>
            </w:r>
          </w:p>
        </w:tc>
      </w:tr>
      <w:tr>
        <w:tc>
          <w:tcPr/>
          <w:p>
            <w:pPr>
              <w:pStyle w:val="Compact"/>
            </w:pPr>
            <w:r>
              <w:t xml:space="preserve">Severity 2</w:t>
            </w:r>
          </w:p>
        </w:tc>
        <w:tc>
          <w:tcPr/>
          <w:p>
            <w:pPr>
              <w:pStyle w:val="Compact"/>
            </w:pPr>
            <w:r>
              <w:t xml:space="preserve">140</w:t>
            </w:r>
          </w:p>
        </w:tc>
        <w:tc>
          <w:tcPr/>
          <w:p>
            <w:pPr>
              <w:pStyle w:val="Compact"/>
            </w:pPr>
            <w:r>
              <w:t xml:space="preserve">9</w:t>
            </w:r>
          </w:p>
        </w:tc>
        <w:tc>
          <w:tcPr/>
          <w:p>
            <w:pPr>
              <w:pStyle w:val="Compact"/>
            </w:pPr>
            <w:r>
              <w:t xml:space="preserve">6.4%</w:t>
            </w:r>
          </w:p>
        </w:tc>
        <w:tc>
          <w:tcPr/>
          <w:p>
            <w:pPr>
              <w:pStyle w:val="Compact"/>
            </w:pPr>
            <w:r>
              <w:t xml:space="preserve">2</w:t>
            </w:r>
          </w:p>
        </w:tc>
      </w:tr>
      <w:tr>
        <w:tc>
          <w:tcPr/>
          <w:p>
            <w:pPr>
              <w:pStyle w:val="Compact"/>
            </w:pPr>
            <w:r>
              <w:t xml:space="preserve">Severity 3</w:t>
            </w:r>
          </w:p>
        </w:tc>
        <w:tc>
          <w:tcPr/>
          <w:p>
            <w:pPr>
              <w:pStyle w:val="Compact"/>
            </w:pPr>
            <w:r>
              <w:t xml:space="preserve">221</w:t>
            </w:r>
          </w:p>
        </w:tc>
        <w:tc>
          <w:tcPr/>
          <w:p>
            <w:pPr>
              <w:pStyle w:val="Compact"/>
            </w:pPr>
            <w:r>
              <w:t xml:space="preserve">12</w:t>
            </w:r>
          </w:p>
        </w:tc>
        <w:tc>
          <w:tcPr/>
          <w:p>
            <w:pPr>
              <w:pStyle w:val="Compact"/>
            </w:pPr>
            <w:r>
              <w:t xml:space="preserve">5.4%</w:t>
            </w:r>
          </w:p>
        </w:tc>
        <w:tc>
          <w:tcPr/>
          <w:p>
            <w:pPr>
              <w:pStyle w:val="Compact"/>
            </w:pPr>
            <w:r>
              <w:t xml:space="preserve">1</w:t>
            </w:r>
          </w:p>
        </w:tc>
      </w:tr>
      <w:tr>
        <w:tc>
          <w:tcPr/>
          <w:p>
            <w:pPr>
              <w:pStyle w:val="Compact"/>
            </w:pPr>
            <w:r>
              <w:t xml:space="preserve">Severity 4</w:t>
            </w:r>
          </w:p>
        </w:tc>
        <w:tc>
          <w:tcPr/>
          <w:p>
            <w:pPr>
              <w:pStyle w:val="Compact"/>
            </w:pPr>
            <w:r>
              <w:t xml:space="preserve">113</w:t>
            </w:r>
          </w:p>
        </w:tc>
        <w:tc>
          <w:tcPr/>
          <w:p>
            <w:pPr>
              <w:pStyle w:val="Compact"/>
            </w:pPr>
            <w:r>
              <w:t xml:space="preserve">20</w:t>
            </w:r>
          </w:p>
        </w:tc>
        <w:tc>
          <w:tcPr/>
          <w:p>
            <w:pPr>
              <w:pStyle w:val="Compact"/>
            </w:pPr>
            <w:r>
              <w:t xml:space="preserve">17.7%</w:t>
            </w:r>
          </w:p>
        </w:tc>
        <w:tc>
          <w:tcPr/>
          <w:p>
            <w:pPr>
              <w:pStyle w:val="Compact"/>
            </w:pPr>
            <w:r>
              <w:t xml:space="preserve">6</w:t>
            </w:r>
          </w:p>
        </w:tc>
      </w:tr>
      <w:tr>
        <w:tc>
          <w:tcPr/>
          <w:p>
            <w:pPr>
              <w:pStyle w:val="Compact"/>
            </w:pPr>
            <w:r>
              <w:t xml:space="preserve">Threatened or coerced</w:t>
            </w:r>
          </w:p>
        </w:tc>
        <w:tc>
          <w:tcPr/>
          <w:p>
            <w:pPr>
              <w:pStyle w:val="Compact"/>
            </w:pPr>
            <w:r>
              <w:t xml:space="preserve">281</w:t>
            </w:r>
          </w:p>
        </w:tc>
        <w:tc>
          <w:tcPr/>
          <w:p>
            <w:pPr>
              <w:pStyle w:val="Compact"/>
            </w:pPr>
            <w:r>
              <w:t xml:space="preserve">22</w:t>
            </w:r>
          </w:p>
        </w:tc>
        <w:tc>
          <w:tcPr/>
          <w:p>
            <w:pPr>
              <w:pStyle w:val="Compact"/>
            </w:pPr>
            <w:r>
              <w:t xml:space="preserve">7.8%</w:t>
            </w:r>
          </w:p>
        </w:tc>
        <w:tc>
          <w:tcPr/>
          <w:p>
            <w:pPr>
              <w:pStyle w:val="Compact"/>
            </w:pPr>
            <w:r>
              <w:t xml:space="preserve">n/a</w:t>
            </w:r>
          </w:p>
        </w:tc>
      </w:tr>
      <w:tr>
        <w:tc>
          <w:tcPr/>
          <w:p>
            <w:pPr>
              <w:pStyle w:val="Compact"/>
            </w:pPr>
            <w:r>
              <w:t xml:space="preserve">Not threatened</w:t>
            </w:r>
          </w:p>
        </w:tc>
        <w:tc>
          <w:tcPr/>
          <w:p>
            <w:pPr>
              <w:pStyle w:val="Compact"/>
            </w:pPr>
            <w:r>
              <w:t xml:space="preserve">255</w:t>
            </w:r>
          </w:p>
        </w:tc>
        <w:tc>
          <w:tcPr/>
          <w:p>
            <w:pPr>
              <w:pStyle w:val="Compact"/>
            </w:pPr>
            <w:r>
              <w:t xml:space="preserve">19</w:t>
            </w:r>
          </w:p>
        </w:tc>
        <w:tc>
          <w:tcPr/>
          <w:p>
            <w:pPr>
              <w:pStyle w:val="Compact"/>
            </w:pPr>
            <w:r>
              <w:t xml:space="preserve">7.5%</w:t>
            </w:r>
          </w:p>
        </w:tc>
        <w:tc>
          <w:tcPr/>
          <w:p>
            <w:pPr>
              <w:pStyle w:val="Compact"/>
            </w:pPr>
            <w:r>
              <w:t xml:space="preserve">n/a</w:t>
            </w:r>
          </w:p>
        </w:tc>
      </w:tr>
    </w:tbl>
    <w:p>
      <w:pPr>
        <w:pStyle w:val="BodyText"/>
      </w:pPr>
      <w:r>
        <w:t xml:space="preserve">The nine formal apologies deserve individual mention, because they are the entire on-screen accountability record of a 576-episode series. Captain Cragen apologizes twice to Stephanie Mulroney (S01E13, S01E15):</w:t>
      </w:r>
      <w:r>
        <w:t xml:space="preserve"> </w:t>
      </w:r>
      <w:r>
        <w:t xml:space="preserve">“I was wrong, Miss Mulroney. Please accept my apologies to your family.”</w:t>
      </w:r>
      <w:r>
        <w:t xml:space="preserve"> </w:t>
      </w:r>
      <w:r>
        <w:t xml:space="preserve">A court apologizes to Evan Ramsey (S03E01), who is shot dead days later by his own daughter. A detective quietly corrects the record for Varla, a homeless woman with a phantom pregnancy accused of abandoning a baby (S07E14). Stabler tells Victor Tate (S11E01),</w:t>
      </w:r>
      <w:r>
        <w:t xml:space="preserve"> </w:t>
      </w:r>
      <w:r>
        <w:t xml:space="preserve">“I made a mistake, Victor. I wanted to tell you myself”</w:t>
      </w:r>
      <w:r>
        <w:t xml:space="preserve">; Tate answers,</w:t>
      </w:r>
      <w:r>
        <w:t xml:space="preserve"> </w:t>
      </w:r>
      <w:r>
        <w:t xml:space="preserve">“And then my life just stopped! Lost my woman, my friends! Hell, my mother barely knows me!”</w:t>
      </w:r>
      <w:r>
        <w:t xml:space="preserve"> </w:t>
      </w:r>
      <w:r>
        <w:t xml:space="preserve">An ADA apologizes to Frank Sullivan (S11E21) after he slits his wrists in an interrogation room. Detectives reveal that Vicki Harris’s arrest for prostitution (S13E10) was staged to get her out of danger. Benson confesses in court about Omar Pena (S13E17),</w:t>
      </w:r>
      <w:r>
        <w:t xml:space="preserve"> </w:t>
      </w:r>
      <w:r>
        <w:t xml:space="preserve">“I forced a false confession… I broke him,”</w:t>
      </w:r>
      <w:r>
        <w:t xml:space="preserve"> </w:t>
      </w:r>
      <w:r>
        <w:t xml:space="preserve">and the judge frees him with the court’s sincere apology. And Stephen Lomatin (S17E09), an auxiliary police officer accused of rape, receives the ninth. That is the complete list.</w:t>
      </w:r>
    </w:p>
    <w:bookmarkEnd w:id="28"/>
    <w:bookmarkStart w:id="29" w:name="the-dead"/>
    <w:p>
      <w:pPr>
        <w:pStyle w:val="Heading3"/>
      </w:pPr>
      <w:r>
        <w:t xml:space="preserve">4.8 The dead</w:t>
      </w:r>
    </w:p>
    <w:p>
      <w:pPr>
        <w:pStyle w:val="FirstParagraph"/>
      </w:pPr>
      <w:r>
        <w:t xml:space="preserve">Table 9 summarizes the verified death and physical-harm audit described in Section 3.5, in which I inspected every candidate row individually rather than trusting keyword counts.</w:t>
      </w:r>
    </w:p>
    <w:p>
      <w:pPr>
        <w:pStyle w:val="BodyText"/>
      </w:pPr>
      <w:r>
        <w:rPr>
          <w:b/>
          <w:bCs/>
        </w:rPr>
        <w:t xml:space="preserve">Table 9. Verified deaths and physical harm among the 536 innocent persons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Verified count</w:t>
            </w:r>
          </w:p>
        </w:tc>
      </w:tr>
      <w:tr>
        <w:tc>
          <w:tcPr/>
          <w:p>
            <w:pPr>
              <w:pStyle w:val="Compact"/>
            </w:pPr>
            <w:r>
              <w:t xml:space="preserve">Murdered or killed as a consequence of the accusation</w:t>
            </w:r>
          </w:p>
        </w:tc>
        <w:tc>
          <w:tcPr/>
          <w:p>
            <w:pPr>
              <w:pStyle w:val="Compact"/>
            </w:pPr>
            <w:r>
              <w:t xml:space="preserve">21 (2 of them in custody)</w:t>
            </w:r>
          </w:p>
        </w:tc>
      </w:tr>
      <w:tr>
        <w:tc>
          <w:tcPr/>
          <w:p>
            <w:pPr>
              <w:pStyle w:val="Compact"/>
            </w:pPr>
            <w:r>
              <w:t xml:space="preserve">Completed suicides</w:t>
            </w:r>
          </w:p>
        </w:tc>
        <w:tc>
          <w:tcPr/>
          <w:p>
            <w:pPr>
              <w:pStyle w:val="Compact"/>
            </w:pPr>
            <w:r>
              <w:t xml:space="preserve">9</w:t>
            </w:r>
          </w:p>
        </w:tc>
      </w:tr>
      <w:tr>
        <w:tc>
          <w:tcPr/>
          <w:p>
            <w:pPr>
              <w:pStyle w:val="Compact"/>
            </w:pPr>
            <w:r>
              <w:t xml:space="preserve">Other accusation-linked death (overdose while suspected)</w:t>
            </w:r>
          </w:p>
        </w:tc>
        <w:tc>
          <w:tcPr/>
          <w:p>
            <w:pPr>
              <w:pStyle w:val="Compact"/>
            </w:pPr>
            <w:r>
              <w:t xml:space="preserve">1</w:t>
            </w:r>
          </w:p>
        </w:tc>
      </w:tr>
      <w:tr>
        <w:tc>
          <w:tcPr/>
          <w:p>
            <w:pPr>
              <w:pStyle w:val="Compact"/>
            </w:pPr>
            <w:r>
              <w:rPr>
                <w:b/>
                <w:bCs/>
              </w:rPr>
              <w:t xml:space="preserve">Total dead</w:t>
            </w:r>
          </w:p>
        </w:tc>
        <w:tc>
          <w:tcPr/>
          <w:p>
            <w:pPr>
              <w:pStyle w:val="Compact"/>
            </w:pPr>
            <w:r>
              <w:rPr>
                <w:b/>
                <w:bCs/>
              </w:rPr>
              <w:t xml:space="preserve">30 murder + suicide; 31 including the overdose</w:t>
            </w:r>
          </w:p>
        </w:tc>
      </w:tr>
      <w:tr>
        <w:tc>
          <w:tcPr/>
          <w:p>
            <w:pPr>
              <w:pStyle w:val="Compact"/>
            </w:pPr>
            <w:r>
              <w:t xml:space="preserve">Suicide attempts, survived</w:t>
            </w:r>
          </w:p>
        </w:tc>
        <w:tc>
          <w:tcPr/>
          <w:p>
            <w:pPr>
              <w:pStyle w:val="Compact"/>
            </w:pPr>
            <w:r>
              <w:t xml:space="preserve">7 in the structured field, plus 1 verified in notes only</w:t>
            </w:r>
          </w:p>
        </w:tc>
      </w:tr>
      <w:tr>
        <w:tc>
          <w:tcPr/>
          <w:p>
            <w:pPr>
              <w:pStyle w:val="Compact"/>
            </w:pPr>
            <w:r>
              <w:t xml:space="preserve">Non-fatal assaults, vigilante attacks, and shootings</w:t>
            </w:r>
          </w:p>
        </w:tc>
        <w:tc>
          <w:tcPr/>
          <w:p>
            <w:pPr>
              <w:pStyle w:val="Compact"/>
            </w:pPr>
            <w:r>
              <w:t xml:space="preserve">27 in the structured field, plus 3 verified in notes only</w:t>
            </w:r>
          </w:p>
        </w:tc>
      </w:tr>
    </w:tbl>
    <w:p>
      <w:pPr>
        <w:pStyle w:val="BodyText"/>
      </w:pPr>
      <w:r>
        <w:t xml:space="preserve">Twenty-one innocent persons are murdered or killed as a consequence of the accusation. Two die in custody: Russell Ramsay, beaten, raped, and killed at Rikers (S02E08), and Manny Montero, murdered at Rikers after agreeing to testify (S15E13). The rest die outside, mostly at the hands of people who believed the accusation. Mehcad Carter (S15E03) is shot by a woman claiming self-defense against the rapist the squad and the media had told her he was; he is proven innocent after he dies in surgery. Jerome Jones (S16E13) is kidnapped, tortured, and murdered by the victim’s father after his release, despite security footage proving his innocence. Eric Byers (S10E02), a 17-year-old stepbrother of the victim, is murdered. Lonnie Liston (S22E10) is tortured and killed by vigilantes after the squad’s investigation costs him his job. Evan Ramsey (S03E01) is killed days after his formal court apology. One of the 21, Father Alberto, dies in a storyline the show revisits (S09E19, S26E19) and is counted in both episodes as coded; a cross-episode deduplication would reduce the count of unique lives by one.</w:t>
      </w:r>
    </w:p>
    <w:p>
      <w:pPr>
        <w:pStyle w:val="BodyText"/>
      </w:pPr>
      <w:r>
        <w:t xml:space="preserve">Nine more die by suicide. Mariel Plummer (S05E18), a child-services worker, is arrested, fired, stripped of her pension, and pilloried in the press before killing herself. Edwin Adelson (S12E02) is framed with planted files, perp-walked, outed in the media, assaulted in custody by an officer, and jumps in front of a train after arraignment. Eddie Cappilla (S04E21) kills himself in the same episode in which his brother Joe is murdered, making that hour the only one in the series with two accusation-linked deaths. A tenth death sits outside both categories: Leon Tate (S03E04) dies of a drug overdose while wrongly suspected of serial murders, and his mother blames the police for his death.</w:t>
      </w:r>
    </w:p>
    <w:p>
      <w:pPr>
        <w:pStyle w:val="BodyText"/>
      </w:pPr>
      <w:r>
        <w:t xml:space="preserve">In total, 31 innocent (or partially involved but innocent of the accusation) people die, across 30 distinct episodes: 5.2% of the entire series. Among the 31 dead, police apologize, formally or partially, in 6 cases.</w:t>
      </w:r>
    </w:p>
    <w:p>
      <w:pPr>
        <w:pStyle w:val="BodyText"/>
      </w:pPr>
      <w:r>
        <w:t xml:space="preserve">Below the fatal line, 7 persons attempt suicide and survive according to the structured field, among them Charlotte Truex (S08E14), a minor who slits her wrist immediately after a coerced confession taken without counsel; an eighth attempt (Kevin Wright, S12E21) is verified in the notes field only. Twenty-seven persons suffer non-fatal violence recorded in the structured field, with three more verified only in notes. Four of the 27 are police shootings: Willie Angel (S04E13) is shot, paralyzed, framed with a drop gun, and wrongfully imprisoned for 25 years; Yusef Barre (S15E11) is shot and paralyzed by a detective who believed he was armed; Michael Baxter (S05E11) and Larry Luft (S11E13) survive their wounds. The remainder are vigilante beatings, family violence, and in-custody assaults, including Andy Chen (S13E19), named in the media as a serial rapist and beaten by five vigilantes on camera, and Coach Alexei Belyakov (S14E13), stabbed with an ice pick on the strength of a false perception of abuse. Custody offers no protection: Eric Plummer (S03E02) is wrongfully convicted and then beaten, raped, and tortured across seven years in prison, and Luna Prasada (S21E15), a framed executive jailed without bail amid a media pile-on, is sexually assaulted by fellow inmates. One of the three notes-only cases, Marc Rajic (S13E09), survives an attempt to burn him alive with gasoline while the structured field records only a vigilante threat.</w:t>
      </w:r>
    </w:p>
    <w:p>
      <w:pPr>
        <w:pStyle w:val="BodyText"/>
      </w:pPr>
      <w:r>
        <w:t xml:space="preserve">The audit’s exclusions define the counts as much as its inclusions, so I list the traps by name. Travis Hall (S01E04) is tagged suspected_then_cleared_by_death, but he overdosed a week before the crime; his death precedes the accusation and cannot be its consequence. Officer Peter Ridley (S01E04) is arrested_for_wrong_murder, a phrase containing the word murder and no dead accused person. Carlos Hernandez (S21E06) carries the tag mother_sister_murdered_while_wrongly_imprisoned: his family died while he sat in prison for 16 years, and he survived, so his row contributes to no death count, however much it belongs in any moral accounting. A restaurant owner (S18E17) receives death threats and an armed intrusion but no on-screen injury. Every one of these strings defeats a keyword counter, which is how an earlier draft of this project came to report 31 murders and 21 suicides. The verified figures are 21 and 9.</w:t>
      </w:r>
    </w:p>
    <w:bookmarkEnd w:id="29"/>
    <w:bookmarkEnd w:id="30"/>
    <w:bookmarkStart w:id="35" w:name="discussion"/>
    <w:p>
      <w:pPr>
        <w:pStyle w:val="Heading2"/>
      </w:pPr>
      <w:r>
        <w:t xml:space="preserve">5. Discussion</w:t>
      </w:r>
    </w:p>
    <w:bookmarkStart w:id="31" w:name="the-wrong-man-as-furniture"/>
    <w:p>
      <w:pPr>
        <w:pStyle w:val="Heading3"/>
      </w:pPr>
      <w:r>
        <w:t xml:space="preserve">5.1 The wrong man as furniture</w:t>
      </w:r>
    </w:p>
    <w:p>
      <w:pPr>
        <w:pStyle w:val="FirstParagraph"/>
      </w:pPr>
      <w:r>
        <w:t xml:space="preserve">The prevalence numbers settle one question definitively: the falsely accused person is a load-bearing element of the SVU formula, present in three of every five episodes and averaging nearly one qualifying victim per hour across 27 years. Red herrings alone account for 180 persons. These are characters the writers created specifically to be wrongly suspected, whose narrative function is to absorb suspicion for two acts and release it in the third. The genre needs them the way a mystery needs doors.</w:t>
      </w:r>
    </w:p>
    <w:p>
      <w:pPr>
        <w:pStyle w:val="BodyText"/>
      </w:pPr>
      <w:r>
        <w:t xml:space="preserve">What the counting adds to that familiar observation is the injury report. These disposable characters are damaged severely: 62.3% at severity 3 or 4, arrest and firing and divorce as standard equipment, death for 31 of them. The convention is worth naming precisely. It is that serious harm to the innocent is a normal, expected, and narratively unremarkable byproduct of investigation. The show does show the harm; that is what makes the dataset possible. What it declines to show, 92.0% of the time, is anyone answering for it.</w:t>
      </w:r>
    </w:p>
    <w:p>
      <w:pPr>
        <w:pStyle w:val="BodyText"/>
      </w:pPr>
      <w:r>
        <w:t xml:space="preserve">Table 2 does record a real decline in volume: from 1.81 persons per episode in season 2 down to 0.30 in season 21, with every full season since staying under 0.65. Two things keep that decline from softening the conclusion. The convention never stops; even the quietest season injures someone, and season 27 opened at one person per episode. And the harm done to those who do qualify has grown no milder in the later seasons; the show wounds fewer people and wounds them just as badly. A companion study, in preparation, examines that trajectory against the #MeToo boundary in detail; for present purposes the point is that 27 consecutive seasons contain the convention, whatever its dose in a given year.</w:t>
      </w:r>
    </w:p>
    <w:p>
      <w:pPr>
        <w:pStyle w:val="BodyText"/>
      </w:pPr>
      <w:r>
        <w:t xml:space="preserve">The severity gap between initial suspects (mean 2.98) and red herrings (2.44) has its own dramaturgical logic. Red herrings exist for the audience, so their function completes at the reveal and the script can release them cheaply. Initial suspects exist for the detectives, and the story extracts full value from them: the arrest, the arraignment, the family fracturing on the courthouse steps. The person the squad believes in hardest is the person the fiction hurts worst, which is an uncomfortable property for a drama about investigative conviction.</w:t>
      </w:r>
    </w:p>
    <w:bookmarkEnd w:id="31"/>
    <w:bookmarkStart w:id="32" w:name="an-economy-of-apology"/>
    <w:p>
      <w:pPr>
        <w:pStyle w:val="Heading3"/>
      </w:pPr>
      <w:r>
        <w:t xml:space="preserve">5.2 An economy of apology</w:t>
      </w:r>
    </w:p>
    <w:p>
      <w:pPr>
        <w:pStyle w:val="FirstParagraph"/>
      </w:pPr>
      <w:r>
        <w:t xml:space="preserve">The apology findings are, to me, the most legible single result in the study, and they were the first thing in the data that genuinely surprised me. I expected apologies to be rare. I did not expect them to be indifferent to conduct. A detective who threatens an innocent teenager and a detective who behaves impeccably apologize at statistically identical rates, 7.8% against 7.5%. The only variable that moves apology is the size of the wreckage, and even catastrophe only lifts the rate to 17.7%. Six of the nine formal apologies in the whole series attach to severity-4 cases; the dead and destroyed receive most of the acknowledgment that exists, and most of them still receive none, since police apologize in only 6 of the 31 fatal cases.</w:t>
      </w:r>
    </w:p>
    <w:p>
      <w:pPr>
        <w:pStyle w:val="BodyText"/>
      </w:pPr>
      <w:r>
        <w:t xml:space="preserve">Procedural-justice research treats acknowledgment of error as a core input to institutional legitimacy (Tyler, 2006). SVU models the opposite equilibrium, several hundred times: error without acknowledgment, followed by the next case. For a heavy viewer, the cultivation-theoretic reading is straightforward. The lesson available for absorption is that when police harm the innocent, apology is a discretionary grace triggered by ruin, never an obligation triggered by conduct. The show’s most sympathetic characters administer this equilibrium. That is precisely what gives it force; the norm is modeled by heroes.</w:t>
      </w:r>
    </w:p>
    <w:p>
      <w:pPr>
        <w:pStyle w:val="BodyText"/>
      </w:pPr>
      <w:r>
        <w:t xml:space="preserve">The one scene that breaks the pattern proves it. When Stabler apologizes to Victor Tate in S11E01, the script gives Tate the reply almost no one else in the dataset gets to deliver:</w:t>
      </w:r>
      <w:r>
        <w:t xml:space="preserve"> </w:t>
      </w:r>
      <w:r>
        <w:t xml:space="preserve">“And then my life just stopped! Lost my woman, my friends! Hell, my mother barely knows me!”</w:t>
      </w:r>
      <w:r>
        <w:t xml:space="preserve"> </w:t>
      </w:r>
      <w:r>
        <w:t xml:space="preserve">The show, in other words, knows what an accusation costs and can write the bill when it chooses. It chooses nine times in 576 episodes. The CSI-effect literature spent a decade asking whether television teaches jurors to expect too much of forensic evidence (Cole &amp; Dioso-Villa, 2009; Podlas, 2006); the parallel question raised here, testable by the same experimental designs, is whether television teaches audiences to expect nothing at all when the state gets it wrong.</w:t>
      </w:r>
    </w:p>
    <w:bookmarkEnd w:id="32"/>
    <w:bookmarkStart w:id="33" w:name="publicity-as-punishment"/>
    <w:p>
      <w:pPr>
        <w:pStyle w:val="Heading3"/>
      </w:pPr>
      <w:r>
        <w:t xml:space="preserve">5.3 Publicity as punishment</w:t>
      </w:r>
    </w:p>
    <w:p>
      <w:pPr>
        <w:pStyle w:val="FirstParagraph"/>
      </w:pPr>
      <w:r>
        <w:t xml:space="preserve">SVU has an implicit theory of stigma, and the severity-by-channel table recovers it with numbers. Accusation contained to the precinct is survivable: mean severity 2.05, catastrophic outcomes at 8.8%. Accusation that reaches a camera is close to a sentence: 46.0% of media-exposed persons reach severity 4, the 5.2-fold multiplier at the center of this study. The show understands, as Goffman (1963) did, that the injury of stigma is administered by an audience, and it dramatizes the principle relentlessly: the perp walk, the reporters on the courthouse steps, the neighbor watching the arrest.</w:t>
      </w:r>
    </w:p>
    <w:p>
      <w:pPr>
        <w:pStyle w:val="BodyText"/>
      </w:pPr>
      <w:r>
        <w:t xml:space="preserve">The uncomfortable half of the finding is who convenes the audience. Detectives, the squad itself, are the disclosing party in 87.3% of cases. The press originates exposure in 3.2%. Within the fiction, the institution that transforms a survivable suspicion into a public catastrophe is the police department the series celebrates, and the transformation is depicted as procedure: telling the employer, confronting the suspect at work, staging the arrest. A show frequently described as sympathetic to victims has spent 27 seasons demonstrating, in its own scripts, that its detectives’ communication practices are the single most reliable amplifier of harm to the innocent. It has never framed that as the finding it is.</w:t>
      </w:r>
    </w:p>
    <w:p>
      <w:pPr>
        <w:pStyle w:val="BodyText"/>
      </w:pPr>
      <w:r>
        <w:t xml:space="preserve">Media exposure is the extreme case, but the ordinary case tells the same story at lower volume. Accusations spread beyond the police for 72.0% of persons, and the workplace, the second-largest channel at 27.2%, is where the show’s middle-class professionals are questioned in front of colleagues and escorted past their desks. The codebook’s severity floor captures the logic: public accusation with no formal sanction at all is already severity 2, because the audience is the sanction. SVU dramatizes this so consistently that the police-only category, the counterfactual world where detectives keep suspicion inside the building, reads on screen as an act of unusual restraint. It occurs in just over a quarter of cases.</w:t>
      </w:r>
    </w:p>
    <w:bookmarkEnd w:id="33"/>
    <w:bookmarkStart w:id="34" w:name="fiction-against-the-record"/>
    <w:p>
      <w:pPr>
        <w:pStyle w:val="Heading3"/>
      </w:pPr>
      <w:r>
        <w:t xml:space="preserve">5.4 Fiction against the record</w:t>
      </w:r>
    </w:p>
    <w:p>
      <w:pPr>
        <w:pStyle w:val="FirstParagraph"/>
      </w:pPr>
      <w:r>
        <w:t xml:space="preserve">Setting the show’s world beside the documented one requires care, because the units differ. The best available estimate of the wrongful conviction rate, from prisoner self-reports, sits near 6% (Loeffler et al., 2019), and exoneration registries count the confirmed cases in the low thousands over three and a half decades (Gross et al., 2005; National Registry of Exonerations, 2026). SVU stages a false accusation in 59.7% of episodes. An episode is a case, roughly, and a false suspect is upstream of a wrongful conviction, so the two rates measure different points in the funnel; no adjustment I can construct, however, closes a gap of that order. The show’s fictional world is one in which wrongful suspicion is the majority experience of contact with a sex-crimes unit.</w:t>
      </w:r>
    </w:p>
    <w:p>
      <w:pPr>
        <w:pStyle w:val="BodyText"/>
      </w:pPr>
      <w:r>
        <w:t xml:space="preserve">The distortion runs in a second direction with the opposite sign. On SVU, the error is discovered within the hour, the real perpetrator confesses, and innocence is proven on screen for 82.5% of the harmed. In the documented record, discovery takes years or decades, arrives for a fraction of the wrongly convicted, and leaves psychiatric injury that outlasts the exoneration (Garrett, 2011; Grounds, 2004; Westervelt &amp; Cook, 2012). The series therefore teaches two miscalibrations at once: wrongful accusation is far more common than reality, and far more self-correcting. A viewer who absorbs both lessons arrives at something like the show’s own implicit position, that collateral damage is ubiquitous, temporary, and nobody’s fault.</w:t>
      </w:r>
    </w:p>
    <w:p>
      <w:pPr>
        <w:pStyle w:val="BodyText"/>
      </w:pPr>
      <w:r>
        <w:t xml:space="preserve">One related caution: the 12.3% fabrication share in Table 4 is a share of harmed persons in a drama, and it cannot be read as a false-report rate; the research consensus for knowingly false sexual assault reports is 2% to 10% of reports, a different denominator entirely (Lisak et al., 2010). What the origin table does support is a claim about dramaturgy. The show reserves its worst outcomes for accusations rooted in civilian deceit (42.4% catastrophic) and its mildest for accusations rooted in detective reasoning (14.6%), even though detective reasoning generates the majority of false accusations in the first place. Institutional error is rendered frequent but gentle; civilian malice is rendered rare but lethal. That allocation protects the heroes twice over, and it is exactly the pattern the copaganda literature would predict a police-centered drama to produce (Kappeler &amp; Potter, 2018; Karakatsanis, 2025).</w:t>
      </w:r>
    </w:p>
    <w:p>
      <w:pPr>
        <w:pStyle w:val="BodyText"/>
      </w:pPr>
      <w:r>
        <w:t xml:space="preserve">Whether viewers actually absorb any of this is a question this study cannot answer and deliberately does not claim to. Content sets the ceiling on cultivation; reception determines what passes through. The findings here specify, for the first time with precision, what the SVU message system contains on this topic, and they hand experimental researchers concrete stimuli: episodes in which coercion produces a false confession without comment, the nine scenes of formal apology, the perp walks that precede suicides. Whether exposure to the convention shifts beliefs about police accountability, tolerance for investigative collateral damage, or juror expectations about accusation and error is now a designable experiment rather than a speculation.</w:t>
      </w:r>
    </w:p>
    <w:bookmarkEnd w:id="34"/>
    <w:bookmarkEnd w:id="35"/>
    <w:bookmarkStart w:id="36" w:name="limitations"/>
    <w:p>
      <w:pPr>
        <w:pStyle w:val="Heading2"/>
      </w:pPr>
      <w:r>
        <w:t xml:space="preserve">6. Limitations</w:t>
      </w:r>
    </w:p>
    <w:p>
      <w:pPr>
        <w:pStyle w:val="FirstParagraph"/>
      </w:pPr>
      <w:r>
        <w:t xml:space="preserve">Six limitations bound these findings. First, and most important, the coding instrument has no human reliability estimate yet. A single model coded every episode against a fixed codebook; a stratified human validation study, prioritizing the 31 death rows and the severity-4 stratum, is in progress, and until it reports, every figure here should be read as instrument-reported. The model’s self-rated confidence (high on roughly 97% of rows) is uncalibrated and provides no substitute.</w:t>
      </w:r>
    </w:p>
    <w:p>
      <w:pPr>
        <w:pStyle w:val="BodyText"/>
      </w:pPr>
      <w:r>
        <w:t xml:space="preserve">Second, the coder read transcripts, never footage. Tone, framing, and performance are invisible to it, and a scene whose dialogue reads as accusation may play differently on screen. A raised eyebrow can turn a threat into a bluff both parties understand; no transcript records the eyebrow. Related, a single instrument means any interpretive bias it carries is applied uniformly across all 576 episodes. Uniform bias leaves comparisons between categories intact, the media multiplier and the apology gradient among them, but absolute levels, such as the 52.4% conduct rate, depend on where the instrument set its thresholds, and the pending validation study is what will test those thresholds against human judgment.</w:t>
      </w:r>
    </w:p>
    <w:p>
      <w:pPr>
        <w:pStyle w:val="BodyText"/>
      </w:pPr>
      <w:r>
        <w:t xml:space="preserve">Third, the source text was imperfect. Four episodes had no transcript and contribute only ambiguity flags; one had encoding damage and contributes a single lower-confidence person-row; season 27 was three episodes old at collection. Fourth, the codebook’s precision-first design excludes ambiguous cases, so 536 is best read as a floor. Fifth, small vocabulary leakage occurred and is disclosed in Section 3.4; and one person, Father Alberto, is counted in two episodes of a revisited storyline, so claims about unique lives should subtract one. Sixth, the dataset codes no demographics, so questions about the race, class, and gender of the falsely accused, questions the SVU literature makes pressing (Britto et al., 2007), await the next pass.</w:t>
      </w:r>
    </w:p>
    <w:p>
      <w:pPr>
        <w:pStyle w:val="BodyText"/>
      </w:pPr>
      <w:r>
        <w:t xml:space="preserve">None of these limitations, I think, threatens the central proportions. The 2.6-point sensitivity band on the episode rate is reported throughout; the death audit was verified row by row precisely because it is the most quotable finding; and the apology and exposure results are drawn from controlled fields with almost no missing data.</w:t>
      </w:r>
    </w:p>
    <w:bookmarkEnd w:id="36"/>
    <w:bookmarkStart w:id="37" w:name="the-acceptable-casualty"/>
    <w:p>
      <w:pPr>
        <w:pStyle w:val="Heading2"/>
      </w:pPr>
      <w:r>
        <w:t xml:space="preserve">7. The Acceptable Casualty</w:t>
      </w:r>
    </w:p>
    <w:p>
      <w:pPr>
        <w:pStyle w:val="FirstParagraph"/>
      </w:pPr>
      <w:r>
        <w:t xml:space="preserve">Every long-running procedural teaches its audience an accounting: this is what an investigation costs, and this is who pays. The account this study reads out of 576 episodes of SVU is specific. The payer is an innocent person in three of every five hours. The price is usually arrest, a job, a marriage, or a reputation, and in 31 cases a life. The bill is presented by the detectives themselves, whose inference starts the majority of false accusations and whose disclosure habits multiply the damage. And the ledger closes without acknowledgment 92.0% of the time.</w:t>
      </w:r>
    </w:p>
    <w:p>
      <w:pPr>
        <w:pStyle w:val="BodyText"/>
      </w:pPr>
      <w:r>
        <w:t xml:space="preserve">I set out to measure a narrative convention, and the convention turned out to have a moral architecture: harm that is shown, so the drama can use it, and accountability that is withheld, so the heroes can survive it. Twenty-seven seasons of that architecture, syndicated daily, is a sustained civic education in what wrongful accusation looks like and what follows it. What follows it, on SVU, is the next case.</w:t>
      </w:r>
    </w:p>
    <w:p>
      <w:pPr>
        <w:pStyle w:val="BodyText"/>
      </w:pPr>
      <w:r>
        <w:t xml:space="preserve">The dataset, the codebook, and the audit trail behind this article are structured for reuse, and two extensions are underway: a longitudinal analysis of how these portrayals moved across the #MeToo boundary, and the human validation study the method requires. The count itself now exists. Anyone who wants to argue that the falsely accused of SVU are treated better, or worse, than I have described can check the rows.</w:t>
      </w:r>
    </w:p>
    <w:bookmarkEnd w:id="37"/>
    <w:bookmarkStart w:id="38" w:name="acknowledgments"/>
    <w:p>
      <w:pPr>
        <w:pStyle w:val="Heading2"/>
      </w:pPr>
      <w:r>
        <w:t xml:space="preserve">Acknowledgments</w:t>
      </w:r>
    </w:p>
    <w:p>
      <w:pPr>
        <w:pStyle w:val="FirstParagraph"/>
      </w:pPr>
      <w:r>
        <w:t xml:space="preserve">Claude (Anthropic) performed the episode coding for this study as the measurement instrument described in Section 3, applying the fixed codebook to all 576 transcripts through the Messages Batch API, and drafted the manuscript text under my direction, which I revised and verified. I validated every figure in this article against the underlying dataset, including the row-level death audit in Section 4.8, and I take full responsibility for the content. Episode transcripts were collected from subslikescript.com.</w:t>
      </w:r>
    </w:p>
    <w:bookmarkEnd w:id="38"/>
    <w:bookmarkStart w:id="39" w:name="references"/>
    <w:p>
      <w:pPr>
        <w:pStyle w:val="Heading2"/>
      </w:pPr>
      <w:r>
        <w:t xml:space="preserve">References</w:t>
      </w:r>
    </w:p>
    <w:p>
      <w:pPr>
        <w:pStyle w:val="FirstParagraph"/>
      </w:pPr>
      <w:r>
        <w:t xml:space="preserve">Bernabo, L. (2022). Copaganda and post-Floyd TVPD: Broadcast television’s response to policing in 2020. Journal of Communication, 72(4), 488-496.</w:t>
      </w:r>
    </w:p>
    <w:p>
      <w:pPr>
        <w:pStyle w:val="BodyText"/>
      </w:pPr>
      <w:r>
        <w:t xml:space="preserve">Britto, S., Hughes, T., Saltzman, K., &amp; Stroh, C. (2007). 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 Journal of Criminal Justice and Popular Culture, 14(1), 39-57.</w:t>
      </w:r>
    </w:p>
    <w:p>
      <w:pPr>
        <w:pStyle w:val="BodyText"/>
      </w:pPr>
      <w:r>
        <w:t xml:space="preserve">Cole, S. A., &amp; Dioso-Villa, R. (2009). Investigating the</w:t>
      </w:r>
      <w:r>
        <w:t xml:space="preserve"> </w:t>
      </w:r>
      <w:r>
        <w:t xml:space="preserve">“CSI effect”</w:t>
      </w:r>
      <w:r>
        <w:t xml:space="preserve"> </w:t>
      </w:r>
      <w:r>
        <w:t xml:space="preserve">effect: Media and litigation crisis in criminal law. Stanford Law Review, 61(6), 1335-1373.</w:t>
      </w:r>
    </w:p>
    <w:p>
      <w:pPr>
        <w:pStyle w:val="BodyText"/>
      </w:pPr>
      <w:r>
        <w:t xml:space="preserve">Cuklanz, L. M., &amp; Moorti, S. (2006). Television’s</w:t>
      </w:r>
      <w:r>
        <w:t xml:space="preserve"> </w:t>
      </w:r>
      <w:r>
        <w:t xml:space="preserve">“new”</w:t>
      </w:r>
      <w:r>
        <w:t xml:space="preserve"> </w:t>
      </w:r>
      <w:r>
        <w:t xml:space="preserve">feminism: Prime-time representations of women and victimization. Critical Studies in Media Communication, 23(4), 302-321.</w:t>
      </w:r>
    </w:p>
    <w:p>
      <w:pPr>
        <w:pStyle w:val="BodyText"/>
      </w:pPr>
      <w:r>
        <w:t xml:space="preserve">Dowler, K. (2003). Media consumption and public attitudes toward crime and justice: The relationship between fear of crime, punitive attitudes, and perceived police effectiveness. Journal of Criminal Justice and Popular Culture, 10(2), 109-126.</w:t>
      </w:r>
    </w:p>
    <w:p>
      <w:pPr>
        <w:pStyle w:val="BodyText"/>
      </w:pPr>
      <w:r>
        <w:t xml:space="preserve">Eschholz, S., Mallard, M., &amp; Flynn, S. (2004). Images of prime time justice: A content analysis of</w:t>
      </w:r>
      <w:r>
        <w:t xml:space="preserve"> </w:t>
      </w:r>
      <w:r>
        <w:t xml:space="preserve">“NYPD Blue”</w:t>
      </w:r>
      <w:r>
        <w:t xml:space="preserve"> </w:t>
      </w:r>
      <w:r>
        <w:t xml:space="preserve">and</w:t>
      </w:r>
      <w:r>
        <w:t xml:space="preserve"> </w:t>
      </w:r>
      <w:r>
        <w:t xml:space="preserve">“Law &amp; Order.”</w:t>
      </w:r>
      <w:r>
        <w:t xml:space="preserve"> </w:t>
      </w:r>
      <w:r>
        <w:t xml:space="preserve">Journal of Criminal Justice and Popular Culture, 10(3), 161-180.</w:t>
      </w:r>
    </w:p>
    <w:p>
      <w:pPr>
        <w:pStyle w:val="BodyText"/>
      </w:pPr>
      <w:r>
        <w:t xml:space="preserve">Garrett, B. L. (2011). Convicting the innocent: Where criminal prosecutions go wrong. Harvard University Press.</w:t>
      </w:r>
    </w:p>
    <w:p>
      <w:pPr>
        <w:pStyle w:val="BodyText"/>
      </w:pPr>
      <w:r>
        <w:t xml:space="preserve">Gerbner, G., Gross, L., Morgan, M., Signorielli, N., &amp; Shanahan, J. (2002). Growing up with television: Cultivation processes. In J. Bryant &amp; D. Zillmann (Eds.), Media effects: Advances in theory and research (2nd ed., pp. 43-67). Lawrence Erlbaum Associates.</w:t>
      </w:r>
    </w:p>
    <w:p>
      <w:pPr>
        <w:pStyle w:val="BodyText"/>
      </w:pPr>
      <w:r>
        <w:t xml:space="preserve">Goffman, E. (1963). Stigma: Notes on the management of spoiled identity. Prentice-Hall.</w:t>
      </w:r>
    </w:p>
    <w:p>
      <w:pPr>
        <w:pStyle w:val="BodyText"/>
      </w:pPr>
      <w:r>
        <w:t xml:space="preserve">Gross, S. R., Jacoby, K., Matheson, D. J., Montgomery, N., &amp; Patil, S. (2005). Exonerations in the United States 1989 through 2003. Journal of Criminal Law and Criminology, 95(2), 523-560.</w:t>
      </w:r>
    </w:p>
    <w:p>
      <w:pPr>
        <w:pStyle w:val="BodyText"/>
      </w:pPr>
      <w:r>
        <w:t xml:space="preserve">Grounds, A. (2004). Psychological consequences of wrongful conviction and imprisonment. Canadian Journal of Criminology and Criminal Justice, 46(2), 165-182.</w:t>
      </w:r>
    </w:p>
    <w:p>
      <w:pPr>
        <w:pStyle w:val="BodyText"/>
      </w:pPr>
      <w:r>
        <w:t xml:space="preserve">Kappeler, V. E., &amp; Potter, G. W. (2018). The mythology of crime and criminal justice (5th ed.). Waveland Press.</w:t>
      </w:r>
    </w:p>
    <w:p>
      <w:pPr>
        <w:pStyle w:val="BodyText"/>
      </w:pPr>
      <w:r>
        <w:t xml:space="preserve">Karakatsanis, A. (2025). Copaganda: How police and the media manipulate our news. The New Press.</w:t>
      </w:r>
    </w:p>
    <w:p>
      <w:pPr>
        <w:pStyle w:val="BodyText"/>
      </w:pPr>
      <w:r>
        <w:t xml:space="preserve">Kort-Butler, L. A., &amp; Sittner Hartshorn, K. J. (2011). Watching the detectives: Crime programming, fear of crime, and attitudes about the criminal justice system. The Sociological Quarterly, 52(1), 36-55.</w:t>
      </w:r>
    </w:p>
    <w:p>
      <w:pPr>
        <w:pStyle w:val="BodyText"/>
      </w:pPr>
      <w:r>
        <w:t xml:space="preserve">Lisak, D., Gardinier, L., Nicksa, S. C., &amp; Cote, A. M. (2010). False allegations of sexual assault: An analysis of ten years of reported cases. Violence Against Women, 16(12), 1318-1334.</w:t>
      </w:r>
    </w:p>
    <w:p>
      <w:pPr>
        <w:pStyle w:val="BodyText"/>
      </w:pPr>
      <w:r>
        <w:t xml:space="preserve">Loeffler, C. E., Hyatt, J., &amp; Ridgeway, G. (2019). Measuring self-reported wrongful convictions among prisoners. Journal of Quantitative Criminology, 35(2), 259-286.</w:t>
      </w:r>
    </w:p>
    <w:p>
      <w:pPr>
        <w:pStyle w:val="BodyText"/>
      </w:pPr>
      <w:r>
        <w:t xml:space="preserve">National Registry of Exonerations. (2026). The National Registry of Exonerations [Database]. University of California Irvine; University of Michigan; Michigan State University. https://www.law.umich.edu/special/exoneration</w:t>
      </w:r>
    </w:p>
    <w:p>
      <w:pPr>
        <w:pStyle w:val="BodyText"/>
      </w:pPr>
      <w:r>
        <w:t xml:space="preserve">Podlas, K. (2006).</w:t>
      </w:r>
      <w:r>
        <w:t xml:space="preserve"> </w:t>
      </w:r>
      <w:r>
        <w:t xml:space="preserve">“The CSI effect”</w:t>
      </w:r>
      <w:r>
        <w:t xml:space="preserve">: Exposing the media myth. Fordham Intellectual Property, Media and Entertainment Law Journal, 16(2), 429-465.</w:t>
      </w:r>
    </w:p>
    <w:p>
      <w:pPr>
        <w:pStyle w:val="BodyText"/>
      </w:pPr>
      <w:r>
        <w:t xml:space="preserve">Rapping, E. (2003). Law and justice as seen on TV. New York University Press.</w:t>
      </w:r>
    </w:p>
    <w:p>
      <w:pPr>
        <w:pStyle w:val="BodyText"/>
      </w:pPr>
      <w:r>
        <w:t xml:space="preserve">Surette, R. (2015). Media, crime, and criminal justice: Images, realities, and policies (5th ed.). Cengage Learning.</w:t>
      </w:r>
    </w:p>
    <w:p>
      <w:pPr>
        <w:pStyle w:val="BodyText"/>
      </w:pPr>
      <w:r>
        <w:t xml:space="preserve">Tyler, T. R. (2006). Why people obey the law. Princeton University Press.</w:t>
      </w:r>
    </w:p>
    <w:p>
      <w:pPr>
        <w:pStyle w:val="BodyText"/>
      </w:pPr>
      <w:r>
        <w:t xml:space="preserve">Westervelt, S. D., &amp; Cook, K. J. (2012). Life after death row: Exonerees’ search for community and identity. Rutgers University Press.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2026-07-05T07:39:29Z</dcterms:created>
  <dcterms:modified xsi:type="dcterms:W3CDTF">2026-07-05T07:39:29Z</dcterms:modified>
</cp:coreProperties>
</file>

<file path=docProps/custom.xml><?xml version="1.0" encoding="utf-8"?>
<Properties xmlns="http://schemas.openxmlformats.org/officeDocument/2006/custom-properties" xmlns:vt="http://schemas.openxmlformats.org/officeDocument/2006/docPropsVTypes"/>
</file>