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e86d30090fee7c8a04f3669c0916fb3b60f2e0"/>
    <w:p>
      <w:pPr>
        <w:pStyle w:val="Heading1"/>
      </w:pPr>
      <w:r>
        <w:t xml:space="preserve">Fewer Accusations, Worse Outcomes: How Law &amp; Order: SVU Rewrote Its False Accusation Narratives after #MeToo</w:t>
      </w:r>
    </w:p>
    <w:p>
      <w:pPr>
        <w:pStyle w:val="FirstParagraph"/>
      </w:pPr>
      <w:r>
        <w:rPr>
          <w:b/>
          <w:bCs/>
        </w:rPr>
        <w:t xml:space="preserve">Tyler Orden</w:t>
      </w:r>
      <w:r>
        <w:t xml:space="preserve"> </w:t>
      </w:r>
      <w:r>
        <w:t xml:space="preserve">Independent researcher</w:t>
      </w:r>
      <w:r>
        <w:t xml:space="preserve"> </w:t>
      </w:r>
      <w:r>
        <w:t xml:space="preserve">[email]</w:t>
      </w:r>
    </w:p>
    <w:p>
      <w:pPr>
        <w:pStyle w:val="BodyText"/>
      </w:pPr>
      <w:r>
        <w:rPr>
          <w:i/>
          <w:iCs/>
        </w:rPr>
        <w:t xml:space="preserve">Manuscript prepared for submission to Television &amp; New Media</w:t>
      </w:r>
    </w:p>
    <w:p>
      <w:r>
        <w:pict>
          <v:rect style="width:0;height:1.5pt" o:hralign="center" o:hrstd="t" o:hr="t"/>
        </w:pict>
      </w:r>
    </w:p>
    <w:bookmarkStart w:id="9" w:name="abstract"/>
    <w:p>
      <w:pPr>
        <w:pStyle w:val="Heading2"/>
      </w:pPr>
      <w:r>
        <w:t xml:space="preserve">Abstract</w:t>
      </w:r>
    </w:p>
    <w:p>
      <w:pPr>
        <w:pStyle w:val="FirstParagraph"/>
      </w:pPr>
      <w:r>
        <w:t xml:space="preserve">Law &amp; Order: Special Victims Unit spent two decades as network television’s loudest advocate for believing victims of sexual violence, while routinely airing plots in which an accusation lands on an innocent person. Drawing on a census of all 576 episodes (1999-2026), coded at the level of the individual falsely accused person (n = 536), I compare three cultural eras: pre-#MeToo (Seasons 1-18), the #MeToo years (Seasons 19-21), and the post-2020 seasons (Seasons 22-27). The share of episodes containing a false suspect fell from 65.6% to 50.0% to 41.8% (χ²(2) = 21.61, p &lt; .01), and falsely accused persons per episode halved, from 1.08 to 0.57 to 0.56. The plots that survived grew harsher: severe outcomes rose from 60.0% of persons to 82.1% before settling at 67.3% (χ²(2) = 8.09, p &lt; .05), and accusations originating in the victim’s own identification roughly doubled, from 15.2% to 30.8%. Depicted police coercion of innocent suspects traces a U-shape, bottoming at 27.7% of persons in Seasons 16-18 and rebounding to 56.7% and 60.0% after 2020, although the pooled era test is nonsignificant. These findings contradict both the backlash account and the reform account of post-2017 crime television.</w:t>
      </w:r>
    </w:p>
    <w:p>
      <w:pPr>
        <w:pStyle w:val="BodyText"/>
      </w:pPr>
      <w:r>
        <w:rPr>
          <w:b/>
          <w:bCs/>
        </w:rPr>
        <w:t xml:space="preserve">Keywords:</w:t>
      </w:r>
      <w:r>
        <w:t xml:space="preserve"> </w:t>
      </w:r>
      <w:r>
        <w:t xml:space="preserve">Law &amp; Order: Special Victims Unit; #MeToo; false accusation; crime drama; content analysis; copaganda; cultivation theory; longitudinal analysis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In the last week of September 2017, Law &amp; Order: Special Victims Unit began its nineteenth season. Eight days later the New York Times published its first Harvey Weinstein story, and within a month</w:t>
      </w:r>
      <w:r>
        <w:t xml:space="preserve"> </w:t>
      </w:r>
      <w:r>
        <w:t xml:space="preserve">“believe survivors”</w:t>
      </w:r>
      <w:r>
        <w:t xml:space="preserve"> </w:t>
      </w:r>
      <w:r>
        <w:t xml:space="preserve">had moved from activist shorthand to a mainstream editorial position. If any fictional institution embodied that position already, it was SVU’s Manhattan Special Victims squad. The show had spent eighteen seasons dramatizing the claim that victims of sexual violence deserve to be heard, and its star, Mariska Hargitay, had built a public advocacy career on the same premise through the Joyful Heart Foundation and the campaign against the rape kit backlog. When the culture caught up to the show’s stated ethic in the fall of 2017, SVU became the natural test case for a question that matters well beyond one procedural: what does a believability movement do to the stories a believability show tells about accusations that turn out to be wrong?</w:t>
      </w:r>
    </w:p>
    <w:p>
      <w:pPr>
        <w:pStyle w:val="BodyText"/>
      </w:pPr>
      <w:r>
        <w:t xml:space="preserve">Two predictions circulated, and they pointed in opposite directions. The first came out of the backlash literature. If popular culture absorbs the anxieties of the moment, and if the loudest anxiety after October 2017 was the specter of the falsely accused man, then crime drama should have leaned into wrongful accusation plots: more of them, more sympathetic to the accused, more skeptical of accusers (Boyle 2019; Banet-Weiser 2018; Manne 2018). The second prediction arrived three years later. After the murder of George Floyd in 2020, the police procedural came under sustained criticism as copaganda, and advocacy reports urged writers’ rooms to depict less misconduct, more accountability, and gentler cops (Color of Change and USC Annenberg Norman Lear Center 2020; Bernabo 2022). On that account, whatever SVU did with its accusation plots, its detectives should at least have softened.</w:t>
      </w:r>
    </w:p>
    <w:p>
      <w:pPr>
        <w:pStyle w:val="BodyText"/>
      </w:pPr>
      <w:r>
        <w:t xml:space="preserve">Neither prediction survives contact with the coded record. This paper reports a longitudinal analysis of every SVU episode from the 1999 premiere through the partially aired twenty-seventh season, with every falsely accused person coded for who first pointed the finger, how far the accusation spread, how badly it ended, and how the detectives behaved along the way. Across the #MeToo boundary the show cut its false accusation plots roughly in half. The episode-level false-suspect rate fell from 65.6% in Seasons 1-18 to 50.0% in Seasons 19-21 and then to 41.8% in Seasons 22-27, and the density of wrongly accused persons per episode dropped from 1.08 to 0.57 and stayed there. At the same time the surviving cases became measurably worse for the people in them. Severe or life-altering outcomes rose from 60.0% of coded persons before #MeToo to 82.1% during it. The origins of the accusations shifted too: plots in which the victim personally identifies the wrong man doubled their share, while plots built on a knowingly fabricated claim nearly vanished after 2020. And the detectives did the opposite of softening. Depicted threats and coercion against innocent suspects, which had quietly declined to a floor of 27.7% of persons in the mid-2010s, rebounded after 2020 to levels last seen in the early Stabler years.</w:t>
      </w:r>
    </w:p>
    <w:p>
      <w:pPr>
        <w:pStyle w:val="BodyText"/>
      </w:pPr>
      <w:r>
        <w:t xml:space="preserve">So the backlash story is wrong about SVU, and so is the reform story. The show responded to a movement about believing accusers by retreating from the plots in which belief fails, and it responded to a movement about police violence by putting more coercion on screen, at least toward the innocent. I will argue that this pattern is best read as risk management by deletion: the cheap, casual version of the false accusation plot, the throwaway red herring who is cleared by minute forty, became reputationally expensive after 2017 and was cut, leaving behind a smaller number of catastrophic wrongful accusation stories that the show treats as events. That editorial strategy has cultivation consequences of its own, because the viewer who once saw a wrongly suspected man shrugged off every week now sees a rarer, far more vivid spectacle: the innocent man destroyed.</w:t>
      </w:r>
    </w:p>
    <w:p>
      <w:pPr>
        <w:pStyle w:val="BodyText"/>
      </w:pPr>
      <w:r>
        <w:t xml:space="preserve">The analysis stands on a census rather than a sample. All 576 episodes were coded, yielding 536 innocent persons harmed by a false or mistaken accusation, and the era comparisons below use that full population. A companion paper (Orden, in preparation) reports the descriptive anatomy of the phenomenon: the overall rates, the severity distribution, the death toll, the apology deficit. This paper takes those measures across time. Its contribution is the era comparison itself, and the finding that the two dominant narratives about post-2017 crime television both fail on the genre’s flagship.</w:t>
      </w:r>
    </w:p>
    <w:bookmarkEnd w:id="10"/>
    <w:bookmarkStart w:id="15" w:name="background"/>
    <w:p>
      <w:pPr>
        <w:pStyle w:val="Heading2"/>
      </w:pPr>
      <w:r>
        <w:t xml:space="preserve">2. Background</w:t>
      </w:r>
    </w:p>
    <w:bookmarkStart w:id="11" w:name="X915cd67d7b0fbb101336414c5bd16fb648a1092"/>
    <w:p>
      <w:pPr>
        <w:pStyle w:val="Heading3"/>
      </w:pPr>
      <w:r>
        <w:t xml:space="preserve">2.1 SVU and the scholarship of the special victim</w:t>
      </w:r>
    </w:p>
    <w:p>
      <w:pPr>
        <w:pStyle w:val="FirstParagraph"/>
      </w:pPr>
      <w:r>
        <w:t xml:space="preserve">SVU has attracted academic attention almost since its premiere, most of it focused on victims rather than suspects. Britto and colleagues (2007) found the show’s victim population skewed heavily toward young white women relative to victimization statistics, a casting pattern with obvious implications for whose suffering registers as special. Cuklanz and Moorti (2006) read the early seasons as a hybrid text, genuinely feminist in its insistence that rape is grave and disbelief is harmful, yet repeatedly drawn to plots that recentered male authority and punished maternal failure. Their later book-length treatment traces how the show’s politics moved with its decades (Moorti and Cuklanz 2017). The broader procedural literature establishes the genre baseline: prime time crime drama exaggerates clearance rates, personalizes justice, and treats police process as trustworthy machinery (Eschholz, Mallard, and Flynn 2004; Surette 2015).</w:t>
      </w:r>
    </w:p>
    <w:p>
      <w:pPr>
        <w:pStyle w:val="BodyText"/>
      </w:pPr>
      <w:r>
        <w:t xml:space="preserve">SVU matters for this literature out of proportion to its slot on the schedule. It is the longest-running primetime live-action series in American television, it runs in syndication more or less continuously, and its detectives are among the most recognizable fictional police in the world. A representational habit on SVU is a habit rehearsed for tens of millions of viewers over a quarter century. The show is also unusual in carrying an explicit ideological signature: where the parent Law &amp; Order sold procedural neutrality, SVU sells advocacy, an hour built around the premise that these particular victims have historically been doubted and deserve better.</w:t>
      </w:r>
    </w:p>
    <w:p>
      <w:pPr>
        <w:pStyle w:val="BodyText"/>
      </w:pPr>
      <w:r>
        <w:t xml:space="preserve">What the scholarship has largely skipped is the falsely accused person as a recurring character type. The omission is understandable, since no one had counted them. It turns out there are 536 of them on SVU alone, about one per episode across the full run, and their treatment varies by era in ways that track the show’s cultural surroundings. That variation is the subject here.</w:t>
      </w:r>
    </w:p>
    <w:bookmarkEnd w:id="11"/>
    <w:bookmarkStart w:id="12" w:name="X08b3e0b3bce589ebbf4079cfc9d72219816e568"/>
    <w:p>
      <w:pPr>
        <w:pStyle w:val="Heading3"/>
      </w:pPr>
      <w:r>
        <w:t xml:space="preserve">2.2 #MeToo as a problem for a believability show</w:t>
      </w:r>
    </w:p>
    <w:p>
      <w:pPr>
        <w:pStyle w:val="FirstParagraph"/>
      </w:pPr>
      <w:r>
        <w:t xml:space="preserve">The #MeToo movement put a specific proposition into general circulation: accusations of sexual violence are overwhelmingly true, and the reflex to doubt them is itself a mechanism of impunity. Empirically the movement stood on firm ground; the research consensus places knowingly false reports of sexual assault in the low single digits to roughly ten percent of cases (Lisak et al. 2010). Culturally, the proposition collided with a backlash that organized itself around the mirror-image figure, the innocent man ruined by a lie. Manne (2018) gave the reflex a name, himpathy, and Boyle (2019) documented how quickly due process talk became the respectable costume of accuser skepticism.</w:t>
      </w:r>
    </w:p>
    <w:p>
      <w:pPr>
        <w:pStyle w:val="BodyText"/>
      </w:pPr>
      <w:r>
        <w:t xml:space="preserve">A show like SVU sat directly on this fault line. Its brand was belief. Its plot engine, though, ran substantially on doubt: red herrings, wrong arrests, recanted identifications, the mid-episode pivot from one suspect to the real one. Every such beat dramatizes a case where believing the initial accusation would have convicted the wrong person. Before 2017 this tension was invisible because no one was counting. After 2017, a writers’ room producing a false accusation plot was making a legible political choice, and the record examined below suggests the room knew it.</w:t>
      </w:r>
    </w:p>
    <w:p>
      <w:pPr>
        <w:pStyle w:val="BodyText"/>
      </w:pPr>
      <w:r>
        <w:t xml:space="preserve">The backlash discourse gave that choice a public price. Within a year of the Weinstein reporting, the falsely accused man had become the organizing figure of #HimToo commentary, of the Kavanaugh confirmation fight, and of a due process argument prosecuted largely through anecdote. Any episode in which an accuser turned out to be lying or mistaken was raw material for that argument, clippable and shareable regardless of the episode’s own framing. Fictional false accusations had become citable, and a show whose stars campaigned for survivors had reasons to think hard before supplying the citations.</w:t>
      </w:r>
    </w:p>
    <w:bookmarkEnd w:id="12"/>
    <w:bookmarkStart w:id="13" w:name="the-copaganda-debate-after-2020"/>
    <w:p>
      <w:pPr>
        <w:pStyle w:val="Heading3"/>
      </w:pPr>
      <w:r>
        <w:t xml:space="preserve">2.3 The copaganda debate after 2020</w:t>
      </w:r>
    </w:p>
    <w:p>
      <w:pPr>
        <w:pStyle w:val="FirstParagraph"/>
      </w:pPr>
      <w:r>
        <w:t xml:space="preserve">The second cultural shock arrived in the summer of 2020. The procedural genre, long criticized in passing, became the object of a focused campaign: Color of Change’s Normalizing Injustice report (2020) had already documented how rarely scripted crime shows depict police misconduct as wrongful, and after George Floyd’s murder the argument reached the trade press, the networks, and the writers’ rooms themselves. Scholars took up the question of whether and how the genre would reform (Bernabo 2022). The implicit prediction was behavioral: shows would either soften their cops or reframe misconduct as misconduct.</w:t>
      </w:r>
    </w:p>
    <w:p>
      <w:pPr>
        <w:pStyle w:val="BodyText"/>
      </w:pPr>
      <w:r>
        <w:t xml:space="preserve">The reform prediction is unusually easy to operationalize, which is part of why it deserves a direct test. If the procedural reformed after 2020, three things should appear in coded data: depicted threats and coercion against suspects should fall, apologies and other accountability beats should rise, and the misconduct that remains should attach to characters the narrative marks as wrong. The first two are directly measurable here. The third requires framing analysis beyond this instrument, and I return to that gap in the discussion, but a genre that reformed on the first two margins would at minimum stop escalating them.</w:t>
      </w:r>
    </w:p>
    <w:p>
      <w:pPr>
        <w:pStyle w:val="BodyText"/>
      </w:pPr>
      <w:r>
        <w:t xml:space="preserve">SVU makes a good test of the prediction precisely because its misconduct is measurable at the person level. Each coded person carries a field recording whether detectives threatened, deceived, insulted, or otherwise coerced them, with the verbatim supporting quote preserved. Since every person in the dataset is innocent, the measure captures the show’s willingness to depict aggressive policing aimed at exactly the people reform discourse worries about: those the aggression cannot, even within the fiction’s own logic, be said to have deserved.</w:t>
      </w:r>
    </w:p>
    <w:bookmarkEnd w:id="13"/>
    <w:bookmarkStart w:id="14" w:name="cultivation-and-the-rare-event"/>
    <w:p>
      <w:pPr>
        <w:pStyle w:val="Heading3"/>
      </w:pPr>
      <w:r>
        <w:t xml:space="preserve">2.4 Cultivation and the rare event</w:t>
      </w:r>
    </w:p>
    <w:p>
      <w:pPr>
        <w:pStyle w:val="FirstParagraph"/>
      </w:pPr>
      <w:r>
        <w:t xml:space="preserve">Cultivation theory holds that heavy television exposure shapes viewers’ estimates of social reality, especially for phenomena the viewer rarely encounters firsthand (Gerbner et al. 2002; Morgan and Shanahan 2010). False accusations of sexual violence are exactly such a phenomenon. Almost no viewer has independent knowledge of their frequency; the fiction is the data. A show that airs a false suspect in two thirds of its episodes teaches something about base rates regardless of its intentions, and a show that halves that frequency while doubling the severity of the survivors teaches something different. The longitudinal design used here is, in effect, a measurement of the changing cultivation dose.</w:t>
      </w:r>
    </w:p>
    <w:bookmarkEnd w:id="14"/>
    <w:bookmarkEnd w:id="15"/>
    <w:bookmarkStart w:id="16" w:name="method"/>
    <w:p>
      <w:pPr>
        <w:pStyle w:val="Heading2"/>
      </w:pPr>
      <w:r>
        <w:t xml:space="preserve">3. Method</w:t>
      </w:r>
    </w:p>
    <w:p>
      <w:pPr>
        <w:pStyle w:val="FirstParagraph"/>
      </w:pPr>
      <w:r>
        <w:t xml:space="preserve">Full instrument detail, including the complete codebook and the descriptive results, appears in the companion paper (Orden, in preparation); the essentials follow.</w:t>
      </w:r>
    </w:p>
    <w:p>
      <w:pPr>
        <w:pStyle w:val="BodyText"/>
      </w:pPr>
      <w:r>
        <w:rPr>
          <w:b/>
          <w:bCs/>
        </w:rPr>
        <w:t xml:space="preserve">Data.</w:t>
      </w:r>
      <w:r>
        <w:t xml:space="preserve"> </w:t>
      </w:r>
      <w:r>
        <w:t xml:space="preserve">The corpus is a census of all 576 SVU episodes, Seasons 1 through 27, with Season 27 partial at three episodes because it was airing at collection time. Transcripts were obtained from subslikescript.com. Four episodes (S14E01, S14E02, S15E01, S17E01) had empty transcripts and one (S06E09) a corrupted non-English transcript; all five are flagged for review, and the four empty ones contribute no person rows, which slightly deflates episode-level rates in their seasons.</w:t>
      </w:r>
    </w:p>
    <w:p>
      <w:pPr>
        <w:pStyle w:val="BodyText"/>
      </w:pPr>
      <w:r>
        <w:rPr>
          <w:b/>
          <w:bCs/>
        </w:rPr>
        <w:t xml:space="preserve">Coding.</w:t>
      </w:r>
      <w:r>
        <w:t xml:space="preserve"> </w:t>
      </w:r>
      <w:r>
        <w:t xml:space="preserve">Each transcript was coded by a large language model (claude-sonnet-4-5, Anthropic) via batch API under a fixed codebook with controlled vocabularies. The unit of analysis is the person: anyone accused of an offense and later proven or strongly implied innocent, who suffered public exposure or physical consequence traceable to the accusation. Each person row records the accusation’s origin (victim identification, witness misidentification, squad inference, coerced statement, database error, or fabrication), the exposure channel, a four-point consequence severity scale (1 private harm, 2 public exposure, 3 material sanction, 4 life-altering or death), police conduct toward the person (none, verbal threat, coercive tactic, insult, or multiple), and whether police apologized. The raw file contains 541 person rows; five coded actually guilty are excluded, leaving n = 536. Episode-level analysis uses a three-value false-suspect flag (Y, N, Maybe); all episode rates below are reported for the Y-only denominator, with the Y+Maybe treatment noted where it matters. Model self-reported confidence is high on roughly 97% of rows, a figure I treat as uncalibrated; a stratified human validation pass is planned before the estimates are treated as settled.</w:t>
      </w:r>
    </w:p>
    <w:p>
      <w:pPr>
        <w:pStyle w:val="BodyText"/>
      </w:pPr>
      <w:r>
        <w:rPr>
          <w:b/>
          <w:bCs/>
        </w:rPr>
        <w:t xml:space="preserve">Eras.</w:t>
      </w:r>
      <w:r>
        <w:t xml:space="preserve"> </w:t>
      </w:r>
      <w:r>
        <w:t xml:space="preserve">The air_date field is blank throughout the dataset, so eras are operationalized by production season: Seasons 1-18 (aired 1999 through spring 2017) as the pre-#MeToo era, Seasons 19-21 (fall 2017 through 2020) as the #MeToo era, and Seasons 22-27 as the post-2020 era. Season blocks are an honest but coarse proxy for air dates. The boundary is also conservative in a useful direction: Season 19 premiered in late September 2017, days before the Weinstein reporting, so its earliest episodes were written in a pre-#MeToo world and any contamination biases the era contrast toward zero. Season 22 premiered in November 2020, after both the Floyd protests and the pandemic shutdown. Joining broadcast dates from external sources, which would permit true event-time analysis and showrunner segmentation, is planned follow-up work; the season-block design is what the present data support.</w:t>
      </w:r>
    </w:p>
    <w:p>
      <w:pPr>
        <w:pStyle w:val="BodyText"/>
      </w:pPr>
      <w:r>
        <w:rPr>
          <w:b/>
          <w:bCs/>
        </w:rPr>
        <w:t xml:space="preserve">Sensitivity.</w:t>
      </w:r>
      <w:r>
        <w:t xml:space="preserve"> </w:t>
      </w:r>
      <w:r>
        <w:t xml:space="preserve">Because the false-suspect flag has a Maybe value, every episode-level rate is computed under two treatments, counting Maybe episodes as negative (Y-only) and as positive (Y+Maybe). At the era level the two treatments differ by 2.9 points in the pre-#MeToo block, 2.9 in Seasons 19-21, and 1.0 in Seasons 22-27, and every substantive conclusion holds under both; chi-square results are reported both ways. The four transcriptless episodes fall in Seasons 14, 15, and 17, inside the pre-#MeToo block, where 410 episodes make their influence negligible. Person-level statistics are unaffected, since those episodes contribute no person rows. The five excluded actually-guilty rows all fall in Seasons 3 through 12; the 43 partially-involved rows, persons guilty of something else and innocent of the accused offense, are retained per the codebook definition.</w:t>
      </w:r>
    </w:p>
    <w:p>
      <w:pPr>
        <w:pStyle w:val="BodyText"/>
      </w:pPr>
      <w:r>
        <w:rPr>
          <w:b/>
          <w:bCs/>
        </w:rPr>
        <w:t xml:space="preserve">Analysis.</w:t>
      </w:r>
      <w:r>
        <w:t xml:space="preserve"> </w:t>
      </w:r>
      <w:r>
        <w:t xml:space="preserve">Era comparisons use Pearson chi-square tests with two degrees of freedom, for which the smallest expected cell across all reported tests is 14.7, comfortably above conventional adequacy thresholds. Within-era season cells shrink sharply after Season 14 (3 to 20 persons per season), so single-season values are reported descriptively and inference rests on the era and three-season-block aggregates. Era person counts for Seasons 19-21 and 22-27 are 39 and 55; I treat percentage swings under roughly ten points in those columns as noise.</w:t>
      </w:r>
    </w:p>
    <w:bookmarkEnd w:id="16"/>
    <w:bookmarkStart w:id="22" w:name="results"/>
    <w:p>
      <w:pPr>
        <w:pStyle w:val="Heading2"/>
      </w:pPr>
      <w:r>
        <w:t xml:space="preserve">4. Results</w:t>
      </w:r>
    </w:p>
    <w:bookmarkStart w:id="17" w:name="the-retreat"/>
    <w:p>
      <w:pPr>
        <w:pStyle w:val="Heading3"/>
      </w:pPr>
      <w:r>
        <w:t xml:space="preserve">4.1 The retreat</w:t>
      </w:r>
    </w:p>
    <w:p>
      <w:pPr>
        <w:pStyle w:val="FirstParagraph"/>
      </w:pPr>
      <w:r>
        <w:t xml:space="preserve">Table 1 reports the headline series. Before #MeToo, a false suspect appears in 65.6% of episodes (269 of 410). In the #MeToo era the rate drops to 50.0% (34 of 68), and after 2020 it falls again to 41.8% (41 of 98). The association between era and the false-suspect flag is significant (χ²(2, N = 576) = 21.61, p &lt; .01), and it strengthens slightly under the inclusive Y+Maybe denominator (68.5% to 52.9% to 42.9%; χ² = 25.11, p &lt; .01). The per-season floor arrives in Season 21, the pandemic-shortened 2019-20 season, where only 30.0% of episodes contain a false suspect. Season 26 rebounds to 54.5%, a single-season wobble worth watching but built on 22 episodes.</w:t>
      </w:r>
    </w:p>
    <w:p>
      <w:pPr>
        <w:pStyle w:val="BodyText"/>
      </w:pPr>
      <w:r>
        <w:t xml:space="preserve">The per-season series adds an honest wrinkle. The pre-#MeToo era is peaked rather than flat: the false-suspect rate runs above 80% in Seasons 8 through 10 (topping out at 84.2% in Season 9) and had already eased to between 47.8% and 54.2% across Seasons 14 through 18. Some of the retreat, in other words, was underway before anyone had heard of #MeToo. But the movement across the boundary is a further, sharper step down, to 30.0% in Season 21 and to era means the mid-2010s seasons never approached, and the era test certifies that the three blocks differ beyond chance.</w:t>
      </w:r>
    </w:p>
    <w:p>
      <w:pPr>
        <w:pStyle w:val="BodyText"/>
      </w:pPr>
      <w:r>
        <w:t xml:space="preserve">The person-level measure falls harder. Seasons 1-18 average 1.08 falsely accused persons per episode; Seasons 19-21 average 0.57; Seasons 22-27 average 0.56. The density halved at the #MeToo boundary and has stayed halved for nine seasons. The early seasons were crowded with these characters, 1.81 per episode in Season 2 and 1.89 in Season 9. Season 21 marks the opposite extreme at 0.30 per episode, six coded persons across twenty hours of a show whose early seasons routinely produced thirty or more per year.</w:t>
      </w:r>
    </w:p>
    <w:p>
      <w:pPr>
        <w:pStyle w:val="BodyText"/>
      </w:pPr>
      <w:r>
        <w:t xml:space="preserve">Read together, the two measures describe a change in editorial diet rather than a blip. For eighteen seasons the wrongly accused person was a stock ingredient, present more often than absent. After the fall of 2017 the ingredient became occasional. Nothing else in the dataset moves this early, this far, or this durably.</w:t>
      </w:r>
    </w:p>
    <w:bookmarkEnd w:id="17"/>
    <w:bookmarkStart w:id="18" w:name="the-severity-paradox"/>
    <w:p>
      <w:pPr>
        <w:pStyle w:val="Heading3"/>
      </w:pPr>
      <w:r>
        <w:t xml:space="preserve">4.2 The severity paradox</w:t>
      </w:r>
    </w:p>
    <w:p>
      <w:pPr>
        <w:pStyle w:val="FirstParagraph"/>
      </w:pPr>
      <w:r>
        <w:t xml:space="preserve">The retreat did not make life easier for the falsely accused characters who remained. It made it worse. Table 2 shows conditional severity by era: among coded persons, the share suffering a material sanction or a life-altering outcome (severity 3-4) rises from 60.0% before #MeToo (265 of 442) to 82.1% during it (32 of 39), then settles at 67.3% after 2020 (37 of 55). The era association is significant (χ²(2, n = 536) = 8.09, p &lt; .05). Mean severity follows the same arc, 2.67 to 3.05 to 2.84, and the share of persons at severity 4 alone, the level reserved for death, permanent ruin, or severe injury, jumps from 20.1% to 30.8% before returning to 21.8%.</w:t>
      </w:r>
    </w:p>
    <w:p>
      <w:pPr>
        <w:pStyle w:val="BodyText"/>
      </w:pPr>
      <w:r>
        <w:t xml:space="preserve">The #MeToo-era cases carry the pattern on their faces. Greg Harvey (S19E07) is murdered while under false suspicion. Carlos Hernandez (S21E06) surfaces after sixteen years of wrongful imprisonment built on a coerced confession, telling Carisi that the detective and the DA promised him</w:t>
      </w:r>
      <w:r>
        <w:t xml:space="preserve"> </w:t>
      </w:r>
      <w:r>
        <w:t xml:space="preserve">“the sayonara syringe”</w:t>
      </w:r>
      <w:r>
        <w:t xml:space="preserve"> </w:t>
      </w:r>
      <w:r>
        <w:t xml:space="preserve">if he refused to confess at eighteen; his mother and sister were murdered while he sat in prison. Luna Prasada (S21E15) is arrested in open court, perp-walked through a media scrum, and sexually assaulted by inmates while jailed without bail, all for a frame-up. These are the plots SVU chose to keep when it was cutting the category by half.</w:t>
      </w:r>
    </w:p>
    <w:p>
      <w:pPr>
        <w:pStyle w:val="BodyText"/>
      </w:pPr>
      <w:r>
        <w:t xml:space="preserve">The post-2020 seasons relax the conditional severity only partway, and they keep producing bodies. Lonnie Liston (S22E10) is tortured and murdered by vigilantes after the squad reopens him as a suspect. Season 26 alone gives us Eddie Soto attacked by vigilantes (S26E13), Father Alberto murdered (S26E19, a revisit of a character first killed in the Season 9 telling of the story), and Anthony Fierro dead by suicide (S26E22). At 67.3% severe outcomes, the post-2020 falsely accused person is still worse off than the pre-#MeToo baseline, on half the pre-#MeToo screen presence.</w:t>
      </w:r>
    </w:p>
    <w:p>
      <w:pPr>
        <w:pStyle w:val="BodyText"/>
      </w:pPr>
      <w:r>
        <w:t xml:space="preserve">I read the paradox as a selection effect, and I will argue the point fully in the discussion, but the mechanics are visible in the numbers. What disappeared after 2017 was the casual wrong suspect, the man questioned in front of his coworkers and cleared two scenes later. What remained, and intensified, was the wrongful accusation as catastrophe. The show now uses these plots the way it once used sweeps-week stunts: rarely, and at maximum amplitude.</w:t>
      </w:r>
    </w:p>
    <w:p>
      <w:pPr>
        <w:pStyle w:val="BodyText"/>
      </w:pPr>
      <w:r>
        <w:t xml:space="preserve">One adjacent series can be dispatched in a sentence. The police apology rate barely moves across eras, 7.7% of persons, then 5.1%, then 9.1%, on era cells far too small to distinguish; whatever changed after 2017, contrition was no part of it.</w:t>
      </w:r>
    </w:p>
    <w:bookmarkEnd w:id="18"/>
    <w:bookmarkStart w:id="19" w:name="the-origin-shift"/>
    <w:p>
      <w:pPr>
        <w:pStyle w:val="Heading3"/>
      </w:pPr>
      <w:r>
        <w:t xml:space="preserve">4.3 The origin shift</w:t>
      </w:r>
    </w:p>
    <w:p>
      <w:pPr>
        <w:pStyle w:val="FirstParagraph"/>
      </w:pPr>
      <w:r>
        <w:t xml:space="preserve">Table 3 breaks down who first points the finger. In every era the squad itself remains the leading source: detectives’ own inference produces 57.2% of false accusations before #MeToo, 41.0% during it, and 47.3% after 2020. The show’s single most consistent finding, across 27 seasons, is that the wrongly accused person is most often accused by the police.</w:t>
      </w:r>
    </w:p>
    <w:p>
      <w:pPr>
        <w:pStyle w:val="BodyText"/>
      </w:pPr>
      <w:r>
        <w:t xml:space="preserve">The movement happens in two smaller categories, and it is directional. Accusations originating in the victim’s own identification of the wrong person double their share at the #MeToo boundary, from 15.2% (67 of 442) to 30.8% (12 of 39), and hold at 29.1% (16 of 55) after 2020. Fabrication, the knowingly false claim, moves the opposite way on a delay: 12.7% before #MeToo, 17.9% during it, then a collapse to 5.5% (3 of 55) after 2020. Both #MeToo-era swings sit near the noise threshold given 39 persons, but the victim_ID shift replicates in the larger post-2020 cell, and the post-2020 fabrication drop is the second-largest movement in the table.</w:t>
      </w:r>
    </w:p>
    <w:p>
      <w:pPr>
        <w:pStyle w:val="BodyText"/>
      </w:pPr>
      <w:r>
        <w:t xml:space="preserve">The remaining origin categories hold steady or move within noise: witness misidentification stays in single digits throughout, database error disappears in the #MeToo era and returns to its baseline after 2020, and coerced statements tick up from 1.6% to around 5% in both later eras on a handful of cases.</w:t>
      </w:r>
    </w:p>
    <w:p>
      <w:pPr>
        <w:pStyle w:val="BodyText"/>
      </w:pPr>
      <w:r>
        <w:t xml:space="preserve">The shape matters more than any single cell. After #MeToo, when SVU airs a false accusation, it increasingly locates the error in a sincere victim who is honestly mistaken, and after 2020 it almost never locates the error in a liar. Jerome Jones (S16E13) prefigures the type: a young Black man who tries to return a woman’s purse, is identified by her on the spot (</w:t>
      </w:r>
      <w:r>
        <w:t xml:space="preserve">“Then arrest him! He attacked me… He raped me!”</w:t>
      </w:r>
      <w:r>
        <w:t xml:space="preserve">), is arrested in front of a pizza shop full of customers, is proven innocent by security footage, and is then kidnapped, tortured, and murdered by the victim’s father. The accuser in that episode is neither villain nor liar; she is wrong. That is the configuration the later eras prefer.</w:t>
      </w:r>
    </w:p>
    <w:bookmarkEnd w:id="19"/>
    <w:bookmarkStart w:id="20" w:name="the-coercion-u-shape"/>
    <w:p>
      <w:pPr>
        <w:pStyle w:val="Heading3"/>
      </w:pPr>
      <w:r>
        <w:t xml:space="preserve">4.4 The coercion U-shape</w:t>
      </w:r>
    </w:p>
    <w:p>
      <w:pPr>
        <w:pStyle w:val="FirstParagraph"/>
      </w:pPr>
      <w:r>
        <w:t xml:space="preserve">The police conduct series is the most surprising in the dataset, and I want to present it with its statistical caveat up front. At the pooled era level, the share of innocent persons facing any police threat or coercion moves from 53.2% (235 of 442) before #MeToo to 35.9% (14 of 39) during it and back up to 58.2% (32 of 55) after 2020, and this three-way test does not reach significance (χ²(2, n = 536) = 5.10, p &gt; .05). The pooled test, however, is poorly matched to the shape of the series, because the decline begins years before the era boundary and the pooling buries it inside the pre-#MeToo block.</w:t>
      </w:r>
    </w:p>
    <w:p>
      <w:pPr>
        <w:pStyle w:val="BodyText"/>
      </w:pPr>
      <w:r>
        <w:t xml:space="preserve">Table 4 shows the series in three-season blocks. From Seasons 1 through 12 the threat rate is stable and high, between 54.3% and 60.3% of persons per block. The texture of that plateau is familiar to anyone who watched the Stabler years. In S12E02, Stabler and Benson work over Edwin Adelson, an innocent man framed with planted files, in tandem:</w:t>
      </w:r>
      <w:r>
        <w:t xml:space="preserve"> </w:t>
      </w:r>
      <w:r>
        <w:t xml:space="preserve">“Three strikes, you’re out,”</w:t>
      </w:r>
      <w:r>
        <w:t xml:space="preserve"> </w:t>
      </w:r>
      <w:r>
        <w:t xml:space="preserve">then a fabricated prior, then</w:t>
      </w:r>
      <w:r>
        <w:t xml:space="preserve"> </w:t>
      </w:r>
      <w:r>
        <w:t xml:space="preserve">“what were you reading, Lolita? Get your juices flowing before you attacked Mandy?”</w:t>
      </w:r>
      <w:r>
        <w:t xml:space="preserve"> </w:t>
      </w:r>
      <w:r>
        <w:t xml:space="preserve">Adelson is assaulted in custody and later dies by suicide. The dip begins at Season 15 (26.7%, 4 of 15 persons) and bottoms out across Seasons 16-18 at 27.7% (13 of 47), with Season 16 the single gentlest season in show history at 14.3%. Recovery is only partial in the #MeToo block (35.9%). Then, after 2020, the rate snaps back: 56.7% in Seasons 22-24 and 60.0% in Seasons 25-27, statistically indistinguishable from the Stabler-era plateau. The five lowest single seasons are 16, 24, 15, 19, and 18; four of the five sit in the mid-2010s trough, and the fifth, Season 24 at 23.1%, is an isolated low inside an otherwise coercive rebound era. Single-season cells after Season 14 run from 3 to 20 persons, so the blocks are the unit of inference, but the block pattern is a clean U.</w:t>
      </w:r>
    </w:p>
    <w:p>
      <w:pPr>
        <w:pStyle w:val="BodyText"/>
      </w:pPr>
      <w:r>
        <w:t xml:space="preserve">The rebound-era episodes supply the texture. In S22E10, Fin tells Lonnie Liston, a Black exoneree under fresh suspicion,</w:t>
      </w:r>
      <w:r>
        <w:t xml:space="preserve"> </w:t>
      </w:r>
      <w:r>
        <w:t xml:space="preserve">“Better hope she shows up. Alive,”</w:t>
      </w:r>
      <w:r>
        <w:t xml:space="preserve"> </w:t>
      </w:r>
      <w:r>
        <w:t xml:space="preserve">reminds him he no longer has a job, and dismisses his account of his own wrongful conviction; Liston is then fired, surveilled, threatened with a parole violation, and finally tortured and murdered by vigilantes. In S23E07, detectives tell Country Jones they are tearing apart his restaurant and his car and that a lie to police is enough to send him back to a South Carolina prison with three months left on his parole. These scenes would be unremarkable in Season 4. They aired in 2020 and 2021.</w:t>
      </w:r>
    </w:p>
    <w:p>
      <w:pPr>
        <w:pStyle w:val="BodyText"/>
      </w:pPr>
      <w:r>
        <w:t xml:space="preserve">Within the rebound era the single-season values whipsaw, and I report them as description only: 87.5% of eight persons in Season 22, 77.8% of nine in Season 23, then 23.1% of thirteen in Season 24, then 87.5% of eight again in Season 25, 35.7% of fourteen in Season 26, and three of three in the young Season 27. With cells this small, one gentle two-parter can move a season thirty points. The blocks smooth this to 56.7% and 60.0%, and it is the blocks I trust.</w:t>
      </w:r>
    </w:p>
    <w:p>
      <w:pPr>
        <w:pStyle w:val="BodyText"/>
      </w:pPr>
      <w:r>
        <w:t xml:space="preserve">Two things are therefore true at once, and both belong in the record. The pooled era contrast for coercion is nonsignificant, and no strong claim should rest on it alone. And the block-level series shows SVU’s gentlest policing occurring in roughly 2013-2017, before either #MeToo or the Floyd protests, followed by a post-2020 return to early-series levels of on-screen coercion against the innocent. Whatever the post-2020 procedural was supposed to do, this one did the reverse.</w:t>
      </w:r>
    </w:p>
    <w:bookmarkEnd w:id="20"/>
    <w:bookmarkStart w:id="21" w:name="X5c3c103d88c254066afb164128e2cb7c0e4c11e"/>
    <w:p>
      <w:pPr>
        <w:pStyle w:val="Heading3"/>
      </w:pPr>
      <w:r>
        <w:t xml:space="preserve">4.5 The media spike and the remaining distributions</w:t>
      </w:r>
    </w:p>
    <w:p>
      <w:pPr>
        <w:pStyle w:val="FirstParagraph"/>
      </w:pPr>
      <w:r>
        <w:t xml:space="preserve">One exposure channel moves sharply with the eras. The share of falsely accused persons whose accusation reaches them through media exposure jumps from 14.9% before #MeToo to 33.3% (13 of 39) in Seasons 19-21, then falls back to 14.5% after 2020; counting the two online-exposure rows, the combined media share runs 15.2% to 33.3% to 16.4% (Table 5). During the precise years when the culture was arguing about trial by media, one falsely accused SVU character in three was exposed through the press, double the show’s baseline. The companion paper shows that media exposure is the most dangerous channel in the dataset, with a severity-4 rate over five times the police-only rate, so the spike compounds the era’s conditional severity. The Prasada perp walk and media pile-on is the era’s emblem.</w:t>
      </w:r>
    </w:p>
    <w:p>
      <w:pPr>
        <w:pStyle w:val="BodyText"/>
      </w:pPr>
      <w:r>
        <w:t xml:space="preserve">The rest of the distributions move little and get a sentence each. The accusation type concentrates: rape rises from 57.7% of accusations before #MeToo to 71.8% and then 74.5%, as the peripheral assault and vaguely coded sex-crime cases thin out alongside the red herrings. Exposure through workplace, family, and school channels holds roughly steady across eras. Squad members remain the people who tell the world in the overwhelming majority of cases throughout.</w:t>
      </w:r>
    </w:p>
    <w:bookmarkEnd w:id="21"/>
    <w:bookmarkEnd w:id="22"/>
    <w:bookmarkStart w:id="27" w:name="discussion"/>
    <w:p>
      <w:pPr>
        <w:pStyle w:val="Heading2"/>
      </w:pPr>
      <w:r>
        <w:t xml:space="preserve">5. Discussion</w:t>
      </w:r>
    </w:p>
    <w:bookmarkStart w:id="23" w:name="deletion-as-reputation-management"/>
    <w:p>
      <w:pPr>
        <w:pStyle w:val="Heading3"/>
      </w:pPr>
      <w:r>
        <w:t xml:space="preserve">5.1 Deletion as reputation management</w:t>
      </w:r>
    </w:p>
    <w:p>
      <w:pPr>
        <w:pStyle w:val="FirstParagraph"/>
      </w:pPr>
      <w:r>
        <w:t xml:space="preserve">The cleanest summary of Sections 4.1 and 4.2 is that SVU responded to a believability movement by cutting the plots in which belief fails, and by making the survivors of that cut spectacular. I interpret the pair of findings as one editorial decision, and the join between them is selection. The pre-#MeToo show ran on procedural churn: most episodes cycled through at least one wrong suspect, and most of those suspects suffered exposure or arrest and then vanished from the story, cleared and forgotten. Those are precisely the beats that became legible, after October 2017, as small weekly arguments that accusations are unreliable. A writers’ room that wanted no part of that argument had an easy remedy available, and the data say the room took it. The casual false suspect was deleted. What could survive the new scrutiny was the wrongful accusation as tragedy, the story in which the show itself stands with the destroyed innocent and the episode is unmistakably about the destruction. So the frequency halves while conditional severity climbs twenty-two points. Fewer accusations, worse outcomes, one decision.</w:t>
      </w:r>
    </w:p>
    <w:p>
      <w:pPr>
        <w:pStyle w:val="BodyText"/>
      </w:pPr>
      <w:r>
        <w:t xml:space="preserve">This reading also explains why the frequency never recovered. If the retreat had been a #MeToo-moment reflex, the rate should have drifted back as the news cycle moved on. Instead the post-2020 era holds at 0.56 persons per episode and posts the lowest false-suspect rate of the three eras, 41.8%. The deletion outlasted its occasion, which is what one expects when a show discovers that a stock device has become a standing liability.</w:t>
      </w:r>
    </w:p>
    <w:p>
      <w:pPr>
        <w:pStyle w:val="BodyText"/>
      </w:pPr>
      <w:r>
        <w:t xml:space="preserve">Production-side explanations deserve a hearing, and they come up short. Shortened seasons cannot do it: every measure here is denominated per episode, so a pandemic-clipped Season 21 or a sixteen-episode Season 22 changes cell sizes without changing rates. Writer and showrunner turnover certainly occurred across the boundary, and an air-date join enabling clean showrunner segmentation is planned, but the turnover explanation and the cultural explanation are hard to pry apart for a reason worth stating: networks change showrunners partly in response to the same cultural pressures the eras index. What the timing rules out is coincidence in the other direction. The series had already drifted down from its late-2000s peak, yet the step changes in both frequency and severity land at the two boundaries the culture drew, in the fall of 2017 and after 2020, and the frequency change holds through two subsequent regime changes in the writers’ room.</w:t>
      </w:r>
    </w:p>
    <w:bookmarkEnd w:id="23"/>
    <w:bookmarkStart w:id="24" w:name="Xd2ab5182e7f490139e1159703301bdd5eb19939"/>
    <w:p>
      <w:pPr>
        <w:pStyle w:val="Heading3"/>
      </w:pPr>
      <w:r>
        <w:t xml:space="preserve">5.2 The origin shift and the licensing of error</w:t>
      </w:r>
    </w:p>
    <w:p>
      <w:pPr>
        <w:pStyle w:val="FirstParagraph"/>
      </w:pPr>
      <w:r>
        <w:t xml:space="preserve">The shift documented in Section 4.3 shows the same instinct operating inside the surviving plots. A false accusation story needs someone to be wrong. The available candidates are the accuser, a witness, a database, or the police, and the choice among them is ideological whether or not anyone in the room says so. Before #MeToo, SVU spread the error around, with a meaningful minority of plots resting on a fabricating accuser. After 2020 the fabricator is nearly extinct at 5.5%, while the sincere but mistaken victim carries twice her former share. The post-#MeToo show has, in effect, found a formulation under which it can keep telling wrongful accusation stories without contradicting its brand: accusers do lie on this show anymore only rarely; accusers err. Belief in the victim’s sincerity is preserved. The cost lands elsewhere, because someone still gets destroyed, and the destroyed man of the later eras suffers more than his predecessor did.</w:t>
      </w:r>
    </w:p>
    <w:p>
      <w:pPr>
        <w:pStyle w:val="BodyText"/>
      </w:pPr>
      <w:r>
        <w:t xml:space="preserve">Note what did not shift. Squad inference remains the leading origin in every era. The show never stopped telling the story in which its own heroes point the first finger at an innocent person; it simply never framed that story as being about the pointing. The reflexive institutional self-scrutiny that #MeToo might have prompted, an interrogation of the detectives’ own accusatory power, is absent from the trend lines.</w:t>
      </w:r>
    </w:p>
    <w:p>
      <w:pPr>
        <w:pStyle w:val="BodyText"/>
      </w:pPr>
      <w:r>
        <w:t xml:space="preserve">One pattern in the qualitative record deserves flagging even though the dataset lacks systematic demographic coding. Many of the catastrophic misidentification cases across the later pre-#MeToo years and the rebound era involve men of color: Mehcad Carter (S15E03), identified from photos by two victims and shot dead; Jerome Jones; Carlos Hernandez; Lonnie Liston. The sincere-mistake plot, whatever its intentions toward accusers, keeps finding the same bodies to land on. Coding race and gender of the accused systematically is the most important extension of this instrument, and I make no quantitative claim here beyond the observation that the era’s exemplary victims of error are conspicuously patterned.</w:t>
      </w:r>
    </w:p>
    <w:bookmarkEnd w:id="24"/>
    <w:bookmarkStart w:id="25" w:name="the-rebound-against-the-reform-narrative"/>
    <w:p>
      <w:pPr>
        <w:pStyle w:val="Heading3"/>
      </w:pPr>
      <w:r>
        <w:t xml:space="preserve">5.3 The rebound against the reform narrative</w:t>
      </w:r>
    </w:p>
    <w:p>
      <w:pPr>
        <w:pStyle w:val="FirstParagraph"/>
      </w:pPr>
      <w:r>
        <w:t xml:space="preserve">Section 4.4 is the finding I would most like a second dataset to check, because it inverts the received account of the post-2020 procedural. The copaganda critique predicted, and in places claimed to observe, a softening: fewer glorified rough interrogations, more visible accountability (Color of Change and USC Annenberg Norman Lear Center 2020; Bernabo 2022). On SVU the softening happened, but it happened in roughly 2013 through 2017, unbidden and unremarked, bottoming at a Season 16 in which one coded person in seven faced any threat at all. After 2020 the show returned to depicting coercion against the innocent at the same rate it did when Elliot Stabler was throwing suspects against walls, and the apology rate stayed flat throughout.</w:t>
      </w:r>
    </w:p>
    <w:p>
      <w:pPr>
        <w:pStyle w:val="BodyText"/>
      </w:pPr>
      <w:r>
        <w:t xml:space="preserve">The dip itself wants explaining as much as the rebound does. The gentle years, Seasons 15 through 18, correspond roughly to 2013 through 2017: the seasons written alongside Ferguson, the national eruption over police violence that began in 2014, and a period in which the show’s own center of gravity had long since moved from Stabler’s fists to Benson’s empathy. I read the trough as SVU’s actual reform era, unannounced and probably unplanned as such, arriving years before the discourse that supposedly demanded one. By the time the culture asked the procedural to soften in 2020, this procedural had already softened and was on its way back.</w:t>
      </w:r>
    </w:p>
    <w:p>
      <w:pPr>
        <w:pStyle w:val="BodyText"/>
      </w:pPr>
      <w:r>
        <w:t xml:space="preserve">Two interpretations of the rebound fit the coding, and the transcript-only instrument cannot separate them. The first is recommitment: the show reverted to aggressive-interrogation drama because it is reliable television. The second is critique: the later seasons may stage coercion in order to indict it, with the Liston episode a plausible example, since the vigilante murder of an exoneree reads as an argument about what suspicion does to Black men rather than an endorsement of Fin’s threats. A framing-sensitive second pass, coding whether another character challenges the conduct on screen, is the obvious next study. But the distinction, while it matters for authorial intent, matters less for cultivation. Under either reading, a viewer of Seasons 22-27 watches innocent people threatened and coerced by police at triple the rate a viewer of Seasons 16-18 did. The exposure is the dose, and the dose went up after the summer that was supposed to bring it down.</w:t>
      </w:r>
    </w:p>
    <w:bookmarkEnd w:id="25"/>
    <w:bookmarkStart w:id="26" w:name="who-the-viewer-learns-to-trust"/>
    <w:p>
      <w:pPr>
        <w:pStyle w:val="Heading3"/>
      </w:pPr>
      <w:r>
        <w:t xml:space="preserve">5.4 Who the viewer learns to trust</w:t>
      </w:r>
    </w:p>
    <w:p>
      <w:pPr>
        <w:pStyle w:val="FirstParagraph"/>
      </w:pPr>
      <w:r>
        <w:t xml:space="preserve">Cultivation theory earns its place here because false accusation frequency is a base-rate belief with real consequences, held almost entirely on fictional evidence. Jurors, employers, school administrators, and family members all act on some private estimate of how often accusations are wrong, and almost none of them derive that estimate from case files. The pre-#MeToo SVU viewer received a weekly lesson that accusations routinely land on the wrong person: two thirds of episodes, more than one innocent per hour, on the air and in syndication for eighteen years. That lesson wildly overstates the documented incidence of false reporting (Lisak et al. 2010), and it plausibly cultivated exactly the skepticism the show’s dialogue preached against. A hundred hours of the old SVU delivered a hundred wrongly accused men; a hundred hours of the current show delivers about fifty-six, a genuine halving of the dose. The post-#MeToo viewer receives a different curriculum. Wrongful accusation is now rare on screen, which brings the fictional base rate closer to the empirical one. But the exemplars are vivid in the way that dominates memory: the perp walk, the prison assault, the vigilante killing, the sixteen lost years. A viewer estimating risk from available examples may now conclude that false accusations are uncommon but annihilating when they occur, and that the annihilation flows through sincere, mistaken victims and a squad that still points first and almost never apologizes. Whether that belief set serves accusers or the accused is genuinely unclear to me. What is clear is that it was authored, incrementally and measurably, by a sequence of editorial decisions that tracked the cultural calendar.</w:t>
      </w:r>
    </w:p>
    <w:p>
      <w:pPr>
        <w:pStyle w:val="BodyText"/>
      </w:pPr>
      <w:r>
        <w:t xml:space="preserve">Put the trust question directly. The post-#MeToo SVU teaches its viewer that accusers can be believed as to their sincerity, since the lying accuser has nearly left the repertoire; that accusers’ identifications can still ruin the wrong man, since the mistaken victim now drives twice her old share of the wreckage; that the press is the most dangerous audience an accusation can find, a lesson concentrated in the exact years of the movement; and that the police who generate most of the false accusations will neither soften nor apologize, whatever happens in the street outside. It is a curriculum with a coherent worldview. Sincerity is common, error is fatal, and institutions are unaccountable. No advocacy organization would have designed it, on either side of the argument.</w:t>
      </w:r>
    </w:p>
    <w:bookmarkEnd w:id="26"/>
    <w:bookmarkEnd w:id="27"/>
    <w:bookmarkStart w:id="28" w:name="limitations"/>
    <w:p>
      <w:pPr>
        <w:pStyle w:val="Heading2"/>
      </w:pPr>
      <w:r>
        <w:t xml:space="preserve">6. Limitations</w:t>
      </w:r>
    </w:p>
    <w:p>
      <w:pPr>
        <w:pStyle w:val="FirstParagraph"/>
      </w:pPr>
      <w:r>
        <w:t xml:space="preserve">Everything above rests on one show. SVU is the genre’s longest-running and most belief-branded title, which makes it the right single case for this question and a poor basis for claims about crime television at large; the same instrument applied to other procedurals is the necessary complement. Era assignment is by season block because air_date is blank throughout the dataset, so episodes are dated by production season rather than broadcast day, and the Season 19 boundary in particular mixes a handful of pre-Weinstein scripts into the #MeToo era, biasing those contrasts toward zero. The two later eras contain 39 and 55 persons, so their percentage estimates are coarse, and I have flagged throughout which movements clear the noise threshold and which do not; the pooled coercion test in particular is nonsignificant and the U-shape claim rests on the block series. The coder is a large language model working from transcripts alone. Its self-reported confidence is uncalibrated, a stratified human validation pass is still pending, and transcript-only coding is blind to performance, camera, and score, which is precisely the information needed to separate depicted coercion from endorsed coercion. Four episodes lack transcripts entirely, one more is corrupted, and Season 27 is three episodes old. None of these problems seems likely to manufacture a 24-point drop in the false-suspect rate or a doubling of the victim-identification share, but each one argues for holding the point estimates loosely.</w:t>
      </w:r>
    </w:p>
    <w:bookmarkEnd w:id="28"/>
    <w:bookmarkStart w:id="29" w:name="after-the-retreat"/>
    <w:p>
      <w:pPr>
        <w:pStyle w:val="Heading2"/>
      </w:pPr>
      <w:r>
        <w:t xml:space="preserve">7. After the Retreat</w:t>
      </w:r>
    </w:p>
    <w:p>
      <w:pPr>
        <w:pStyle w:val="FirstParagraph"/>
      </w:pPr>
      <w:r>
        <w:t xml:space="preserve">The show most identified with believing victims met the believing-victims era by quietly removing the stories in which belief convicts the innocent, and met the police-reform era by putting more coercion on screen than it had in a decade. Both of the standard narratives about post-2017 crime television, backlash and reform, predicted the opposite of what this show actually did. That is worth knowing in itself, because SVU is where those narratives should have been easiest to confirm.</w:t>
      </w:r>
    </w:p>
    <w:p>
      <w:pPr>
        <w:pStyle w:val="BodyText"/>
      </w:pPr>
      <w:r>
        <w:t xml:space="preserve">Three extensions would harden or overturn these claims, and I name them in order of value. First, the same instrument applied to other long-running procedurals would establish whether the retreat-and-intensify pattern is SVU’s alone or the genre’s general answer to #MeToo; preliminary work on the parent Law &amp; Order suggests the franchises diverged, which would make SVU’s choice a choice rather than an industry tide. Second, a framing-sensitive recoding of the police conduct quotes, asking whether anyone on screen objects to the coercion, would settle the endorsement question that Section 5.3 leaves open. Third, joining the fictional origin distribution to real-world exoneration data would measure the gap between the errors television dramatizes and the errors that actually convict people, which is the comparison cultivation theory ultimately cares about.</w:t>
      </w:r>
    </w:p>
    <w:p>
      <w:pPr>
        <w:pStyle w:val="BodyText"/>
      </w:pPr>
      <w:r>
        <w:t xml:space="preserve">The larger lesson is about how a long-running institution edits itself under cultural pressure. SVU did not argue with #MeToo, and it did not visibly reform after 2020. It curated. It deleted the cheap version of a newly dangerous plot, kept the expensive version, relocated the blame inside it, and let its detectives revert to form once the spotlight moved. Each of those moves is invisible at the level of any single episode and unmistakable in the aggregate. Counting is the only criticism that catches this kind of authorship, and 27 seasons of one show turn out to hold a legible record of a decade’s arguments about accusation, belief, and the police. The record says the show chose retreat. The people it still accuses falsely pay more for it than they ever did.</w:t>
      </w:r>
    </w:p>
    <w:bookmarkEnd w:id="29"/>
    <w:bookmarkStart w:id="30" w:name="acknowledgments"/>
    <w:p>
      <w:pPr>
        <w:pStyle w:val="Heading2"/>
      </w:pPr>
      <w:r>
        <w:t xml:space="preserve">Acknowledgments</w:t>
      </w:r>
    </w:p>
    <w:p>
      <w:pPr>
        <w:pStyle w:val="FirstParagraph"/>
      </w:pPr>
      <w:r>
        <w:t xml:space="preserve">Claude (Anthropic) served two roles in this project, and I want to state both plainly. First, as measurement instrument: a Claude model (claude-sonnet-4-5) coded all 576 episode transcripts under the fixed codebook described in Section 3, a use I treat exactly as I would any automated coder, pending the human validation described in the limitations. Second, as drafting assistant: Claude produced an initial draft of this text under my direction, which I revised and verified against the underlying dataset. All analytic decisions, interpretations, and errors are mine, and I take full responsibility for the content.</w:t>
      </w:r>
    </w:p>
    <w:bookmarkEnd w:id="30"/>
    <w:bookmarkStart w:id="31" w:name="references"/>
    <w:p>
      <w:pPr>
        <w:pStyle w:val="Heading2"/>
      </w:pPr>
      <w:r>
        <w:t xml:space="preserve">References</w:t>
      </w:r>
    </w:p>
    <w:p>
      <w:pPr>
        <w:pStyle w:val="FirstParagraph"/>
      </w:pPr>
      <w:r>
        <w:t xml:space="preserve">Banet-Weiser, S. 2018.</w:t>
      </w:r>
      <w:r>
        <w:t xml:space="preserve"> </w:t>
      </w:r>
      <w:r>
        <w:rPr>
          <w:i/>
          <w:iCs/>
        </w:rPr>
        <w:t xml:space="preserve">Empowered: Popular Feminism and Popular Misogyny</w:t>
      </w:r>
      <w:r>
        <w:t xml:space="preserve">. Durham, NC: Duke University Press.</w:t>
      </w:r>
    </w:p>
    <w:p>
      <w:pPr>
        <w:pStyle w:val="BodyText"/>
      </w:pPr>
      <w:r>
        <w:t xml:space="preserve">Bernabo, L. 2022.</w:t>
      </w:r>
      <w:r>
        <w:t xml:space="preserve"> </w:t>
      </w:r>
      <w:r>
        <w:t xml:space="preserve">“Copaganda and Post-Floyd TVPD: Broadcast Television’s Response to Policing in 2020.”</w:t>
      </w:r>
      <w:r>
        <w:t xml:space="preserve"> </w:t>
      </w:r>
      <w:r>
        <w:rPr>
          <w:i/>
          <w:iCs/>
        </w:rPr>
        <w:t xml:space="preserve">Journal of Communication</w:t>
      </w:r>
      <w:r>
        <w:t xml:space="preserve"> </w:t>
      </w:r>
      <w:r>
        <w:t xml:space="preserve">72 (4): 488-496.</w:t>
      </w:r>
    </w:p>
    <w:p>
      <w:pPr>
        <w:pStyle w:val="BodyText"/>
      </w:pPr>
      <w:r>
        <w:t xml:space="preserve">Boyle, K. 2019.</w:t>
      </w:r>
      <w:r>
        <w:t xml:space="preserve"> </w:t>
      </w:r>
      <w:r>
        <w:rPr>
          <w:i/>
          <w:iCs/>
        </w:rPr>
        <w:t xml:space="preserve">#MeToo, Weinstein and Feminism</w:t>
      </w:r>
      <w:r>
        <w:t xml:space="preserve">. Cham: Palgrave Macmillan.</w:t>
      </w:r>
    </w:p>
    <w:p>
      <w:pPr>
        <w:pStyle w:val="BodyText"/>
      </w:pPr>
      <w:r>
        <w:t xml:space="preserve">Britto, S., T. Hughes, K. Saltzman, and C. Stroh. 2007.</w:t>
      </w:r>
      <w:r>
        <w:t xml:space="preserve"> </w:t>
      </w:r>
      <w:r>
        <w:t xml:space="preserve">“Does</w:t>
      </w:r>
      <w:r>
        <w:t xml:space="preserve"> </w:t>
      </w:r>
      <w:r>
        <w:t xml:space="preserve">‘Special’</w:t>
      </w:r>
      <w:r>
        <w:t xml:space="preserve"> </w:t>
      </w:r>
      <w:r>
        <w:t xml:space="preserve">Mean Young, White and Female? Deconstructing the Meaning of</w:t>
      </w:r>
      <w:r>
        <w:t xml:space="preserve"> </w:t>
      </w:r>
      <w:r>
        <w:t xml:space="preserve">‘Special’</w:t>
      </w:r>
      <w:r>
        <w:t xml:space="preserve"> </w:t>
      </w:r>
      <w:r>
        <w:t xml:space="preserve">in Law &amp; Order: Special Victims Unit.”</w:t>
      </w:r>
      <w:r>
        <w:t xml:space="preserve"> </w:t>
      </w:r>
      <w:r>
        <w:rPr>
          <w:i/>
          <w:iCs/>
        </w:rPr>
        <w:t xml:space="preserve">Journal of Criminal Justice and Popular Culture</w:t>
      </w:r>
      <w:r>
        <w:t xml:space="preserve"> </w:t>
      </w:r>
      <w:r>
        <w:t xml:space="preserve">14 (1): 39-57.</w:t>
      </w:r>
    </w:p>
    <w:p>
      <w:pPr>
        <w:pStyle w:val="BodyText"/>
      </w:pPr>
      <w:r>
        <w:t xml:space="preserve">Color of Change and USC Annenberg Norman Lear Center. 2020.</w:t>
      </w:r>
      <w:r>
        <w:t xml:space="preserve"> </w:t>
      </w:r>
      <w:r>
        <w:rPr>
          <w:i/>
          <w:iCs/>
        </w:rPr>
        <w:t xml:space="preserve">Normalizing Injustice: The Dangerous Misrepresentations That Define Television’s Scripted Crime Genre</w:t>
      </w:r>
      <w:r>
        <w:t xml:space="preserve">. Los Angeles: USC Annenberg.</w:t>
      </w:r>
    </w:p>
    <w:p>
      <w:pPr>
        <w:pStyle w:val="BodyText"/>
      </w:pPr>
      <w:r>
        <w:t xml:space="preserve">Cuklanz, L. M., and S. Moorti. 2006.</w:t>
      </w:r>
      <w:r>
        <w:t xml:space="preserve"> </w:t>
      </w:r>
      <w:r>
        <w:t xml:space="preserve">“Television’s</w:t>
      </w:r>
      <w:r>
        <w:t xml:space="preserve"> </w:t>
      </w:r>
      <w:r>
        <w:t xml:space="preserve">‘New’</w:t>
      </w:r>
      <w:r>
        <w:t xml:space="preserve"> </w:t>
      </w:r>
      <w:r>
        <w:t xml:space="preserve">Feminism: Prime-Time Representations of Women and Victimization.”</w:t>
      </w:r>
      <w:r>
        <w:t xml:space="preserve"> </w:t>
      </w:r>
      <w:r>
        <w:rPr>
          <w:i/>
          <w:iCs/>
        </w:rPr>
        <w:t xml:space="preserve">Critical Studies in Media Communication</w:t>
      </w:r>
      <w:r>
        <w:t xml:space="preserve"> </w:t>
      </w:r>
      <w:r>
        <w:t xml:space="preserve">23 (4): 302-321.</w:t>
      </w:r>
    </w:p>
    <w:p>
      <w:pPr>
        <w:pStyle w:val="BodyText"/>
      </w:pPr>
      <w:r>
        <w:t xml:space="preserve">Eschholz, S., M. Mallard, and S. Flynn. 2004.</w:t>
      </w:r>
      <w:r>
        <w:t xml:space="preserve"> </w:t>
      </w:r>
      <w:r>
        <w:t xml:space="preserve">“Images of Prime Time Justice: A Content Analysis of NYPD Blue and Law &amp; Order.”</w:t>
      </w:r>
      <w:r>
        <w:t xml:space="preserve"> </w:t>
      </w:r>
      <w:r>
        <w:rPr>
          <w:i/>
          <w:iCs/>
        </w:rPr>
        <w:t xml:space="preserve">Journal of Criminal Justice and Popular Culture</w:t>
      </w:r>
      <w:r>
        <w:t xml:space="preserve"> </w:t>
      </w:r>
      <w:r>
        <w:t xml:space="preserve">10 (3): 161-180.</w:t>
      </w:r>
    </w:p>
    <w:p>
      <w:pPr>
        <w:pStyle w:val="BodyText"/>
      </w:pPr>
      <w:r>
        <w:t xml:space="preserve">Gerbner, G., L. Gross, M. Morgan, N. Signorielli, and J. Shanahan. 2002.</w:t>
      </w:r>
      <w:r>
        <w:t xml:space="preserve"> </w:t>
      </w:r>
      <w:r>
        <w:t xml:space="preserve">“Growing Up with Television: Cultivation Processes.”</w:t>
      </w:r>
      <w:r>
        <w:t xml:space="preserve"> </w:t>
      </w:r>
      <w:r>
        <w:t xml:space="preserve">In</w:t>
      </w:r>
      <w:r>
        <w:t xml:space="preserve"> </w:t>
      </w:r>
      <w:r>
        <w:rPr>
          <w:i/>
          <w:iCs/>
        </w:rPr>
        <w:t xml:space="preserve">Media Effects: Advances in Theory and Research</w:t>
      </w:r>
      <w:r>
        <w:t xml:space="preserve">, 2nd ed., edited by J. Bryant and D. Zillmann, 43-67. Mahwah, NJ: Lawrence Erlbaum.</w:t>
      </w:r>
    </w:p>
    <w:p>
      <w:pPr>
        <w:pStyle w:val="BodyText"/>
      </w:pPr>
      <w:r>
        <w:t xml:space="preserve">Lisak, D., L. Gardinier, S. C. Nicksa, and A. M. Cote. 2010.</w:t>
      </w:r>
      <w:r>
        <w:t xml:space="preserve"> </w:t>
      </w:r>
      <w:r>
        <w:t xml:space="preserve">“False Allegations of Sexual Assault: An Analysis of Ten Years of Reported Cases.”</w:t>
      </w:r>
      <w:r>
        <w:t xml:space="preserve"> </w:t>
      </w:r>
      <w:r>
        <w:rPr>
          <w:i/>
          <w:iCs/>
        </w:rPr>
        <w:t xml:space="preserve">Violence Against Women</w:t>
      </w:r>
      <w:r>
        <w:t xml:space="preserve"> </w:t>
      </w:r>
      <w:r>
        <w:t xml:space="preserve">16 (12): 1318-1334.</w:t>
      </w:r>
    </w:p>
    <w:p>
      <w:pPr>
        <w:pStyle w:val="BodyText"/>
      </w:pPr>
      <w:r>
        <w:t xml:space="preserve">Manne, K. 2018.</w:t>
      </w:r>
      <w:r>
        <w:t xml:space="preserve"> </w:t>
      </w:r>
      <w:r>
        <w:rPr>
          <w:i/>
          <w:iCs/>
        </w:rPr>
        <w:t xml:space="preserve">Down Girl: The Logic of Misogyny</w:t>
      </w:r>
      <w:r>
        <w:t xml:space="preserve">. New York: Oxford University Press.</w:t>
      </w:r>
    </w:p>
    <w:p>
      <w:pPr>
        <w:pStyle w:val="BodyText"/>
      </w:pPr>
      <w:r>
        <w:t xml:space="preserve">Moorti, S., and L. Cuklanz. 2017.</w:t>
      </w:r>
      <w:r>
        <w:t xml:space="preserve"> </w:t>
      </w:r>
      <w:r>
        <w:rPr>
          <w:i/>
          <w:iCs/>
        </w:rPr>
        <w:t xml:space="preserve">All-American TV Crime Drama: Feminism and Identity Politics in Law and Order: Special Victims Unit</w:t>
      </w:r>
      <w:r>
        <w:t xml:space="preserve">. London: I.B. Tauris.</w:t>
      </w:r>
    </w:p>
    <w:p>
      <w:pPr>
        <w:pStyle w:val="BodyText"/>
      </w:pPr>
      <w:r>
        <w:t xml:space="preserve">Morgan, M., and J. Shanahan. 2010.</w:t>
      </w:r>
      <w:r>
        <w:t xml:space="preserve"> </w:t>
      </w:r>
      <w:r>
        <w:t xml:space="preserve">“The State of Cultivation.”</w:t>
      </w:r>
      <w:r>
        <w:t xml:space="preserve"> </w:t>
      </w:r>
      <w:r>
        <w:rPr>
          <w:i/>
          <w:iCs/>
        </w:rPr>
        <w:t xml:space="preserve">Journal of Broadcasting &amp; Electronic Media</w:t>
      </w:r>
      <w:r>
        <w:t xml:space="preserve"> </w:t>
      </w:r>
      <w:r>
        <w:t xml:space="preserve">54 (2): 337-355.</w:t>
      </w:r>
    </w:p>
    <w:p>
      <w:pPr>
        <w:pStyle w:val="BodyText"/>
      </w:pPr>
      <w:r>
        <w:t xml:space="preserve">Orden, T. In preparation.</w:t>
      </w:r>
      <w:r>
        <w:t xml:space="preserve"> </w:t>
      </w:r>
      <w:r>
        <w:t xml:space="preserve">“One Per Episode: The Anatomy of False Accusation Narratives across 576 Episodes of Law &amp; Order: SVU.”</w:t>
      </w:r>
      <w:r>
        <w:t xml:space="preserve"> </w:t>
      </w:r>
      <w:r>
        <w:t xml:space="preserve">Manuscript.</w:t>
      </w:r>
    </w:p>
    <w:p>
      <w:pPr>
        <w:pStyle w:val="BodyText"/>
      </w:pPr>
      <w:r>
        <w:t xml:space="preserve">Surette, R. 2015.</w:t>
      </w:r>
      <w:r>
        <w:t xml:space="preserve"> </w:t>
      </w:r>
      <w:r>
        <w:rPr>
          <w:i/>
          <w:iCs/>
        </w:rPr>
        <w:t xml:space="preserve">Media, Crime, and Criminal Justice: Images, Realities, and Policies</w:t>
      </w:r>
      <w:r>
        <w:t xml:space="preserve">. 5th ed. Stamford, CT: Cengage.</w:t>
      </w:r>
    </w:p>
    <w:p>
      <w:r>
        <w:pict>
          <v:rect style="width:0;height:1.5pt" o:hralign="center" o:hrstd="t" o:hr="t"/>
        </w:pict>
      </w:r>
    </w:p>
    <w:bookmarkEnd w:id="31"/>
    <w:bookmarkStart w:id="32" w:name="tables"/>
    <w:p>
      <w:pPr>
        <w:pStyle w:val="Heading2"/>
      </w:pPr>
      <w:r>
        <w:t xml:space="preserve">Tables</w:t>
      </w:r>
    </w:p>
    <w:p>
      <w:pPr>
        <w:pStyle w:val="FirstParagraph"/>
      </w:pPr>
      <w:r>
        <w:rPr>
          <w:b/>
          <w:bCs/>
        </w:rPr>
        <w:t xml:space="preserve">Table 1. False-suspect episode rate and falsely accused persons per episode, by era.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Era</w:t>
            </w:r>
          </w:p>
        </w:tc>
        <w:tc>
          <w:tcPr/>
          <w:p>
            <w:pPr>
              <w:pStyle w:val="Compact"/>
            </w:pPr>
            <w:r>
              <w:t xml:space="preserve">Episodes</w:t>
            </w:r>
          </w:p>
        </w:tc>
        <w:tc>
          <w:tcPr/>
          <w:p>
            <w:pPr>
              <w:pStyle w:val="Compact"/>
            </w:pPr>
            <w:r>
              <w:t xml:space="preserve">False-suspect episodes (Y)</w:t>
            </w:r>
          </w:p>
        </w:tc>
        <w:tc>
          <w:tcPr/>
          <w:p>
            <w:pPr>
              <w:pStyle w:val="Compact"/>
            </w:pPr>
            <w:r>
              <w:t xml:space="preserve">Y-only rate</w:t>
            </w:r>
          </w:p>
        </w:tc>
        <w:tc>
          <w:tcPr/>
          <w:p>
            <w:pPr>
              <w:pStyle w:val="Compact"/>
            </w:pPr>
            <w:r>
              <w:t xml:space="preserve">Y+Maybe rate</w:t>
            </w:r>
          </w:p>
        </w:tc>
        <w:tc>
          <w:tcPr/>
          <w:p>
            <w:pPr>
              <w:pStyle w:val="Compact"/>
            </w:pPr>
            <w:r>
              <w:t xml:space="preserve">Persons harmed</w:t>
            </w:r>
          </w:p>
        </w:tc>
        <w:tc>
          <w:tcPr/>
          <w:p>
            <w:pPr>
              <w:pStyle w:val="Compact"/>
            </w:pPr>
            <w:r>
              <w:t xml:space="preserve">Persons per episode</w:t>
            </w:r>
          </w:p>
        </w:tc>
      </w:tr>
      <w:tr>
        <w:tc>
          <w:tcPr/>
          <w:p>
            <w:pPr>
              <w:pStyle w:val="Compact"/>
            </w:pPr>
            <w:r>
              <w:t xml:space="preserve">Pre-#MeToo, S1-18 (1999-spring 2017)</w:t>
            </w:r>
          </w:p>
        </w:tc>
        <w:tc>
          <w:tcPr/>
          <w:p>
            <w:pPr>
              <w:pStyle w:val="Compact"/>
            </w:pPr>
            <w:r>
              <w:t xml:space="preserve">410</w:t>
            </w:r>
          </w:p>
        </w:tc>
        <w:tc>
          <w:tcPr/>
          <w:p>
            <w:pPr>
              <w:pStyle w:val="Compact"/>
            </w:pPr>
            <w:r>
              <w:t xml:space="preserve">269</w:t>
            </w:r>
          </w:p>
        </w:tc>
        <w:tc>
          <w:tcPr/>
          <w:p>
            <w:pPr>
              <w:pStyle w:val="Compact"/>
            </w:pPr>
            <w:r>
              <w:t xml:space="preserve">65.6%</w:t>
            </w:r>
          </w:p>
        </w:tc>
        <w:tc>
          <w:tcPr/>
          <w:p>
            <w:pPr>
              <w:pStyle w:val="Compact"/>
            </w:pPr>
            <w:r>
              <w:t xml:space="preserve">68.5%</w:t>
            </w:r>
          </w:p>
        </w:tc>
        <w:tc>
          <w:tcPr/>
          <w:p>
            <w:pPr>
              <w:pStyle w:val="Compact"/>
            </w:pPr>
            <w:r>
              <w:t xml:space="preserve">442</w:t>
            </w:r>
          </w:p>
        </w:tc>
        <w:tc>
          <w:tcPr/>
          <w:p>
            <w:pPr>
              <w:pStyle w:val="Compact"/>
            </w:pPr>
            <w:r>
              <w:t xml:space="preserve">1.08</w:t>
            </w:r>
          </w:p>
        </w:tc>
      </w:tr>
      <w:tr>
        <w:tc>
          <w:tcPr/>
          <w:p>
            <w:pPr>
              <w:pStyle w:val="Compact"/>
            </w:pPr>
            <w:r>
              <w:t xml:space="preserve">#MeToo era, S19-21 (2017-2020)</w:t>
            </w:r>
          </w:p>
        </w:tc>
        <w:tc>
          <w:tcPr/>
          <w:p>
            <w:pPr>
              <w:pStyle w:val="Compact"/>
            </w:pPr>
            <w:r>
              <w:t xml:space="preserve">68</w:t>
            </w:r>
          </w:p>
        </w:tc>
        <w:tc>
          <w:tcPr/>
          <w:p>
            <w:pPr>
              <w:pStyle w:val="Compact"/>
            </w:pPr>
            <w:r>
              <w:t xml:space="preserve">34</w:t>
            </w:r>
          </w:p>
        </w:tc>
        <w:tc>
          <w:tcPr/>
          <w:p>
            <w:pPr>
              <w:pStyle w:val="Compact"/>
            </w:pPr>
            <w:r>
              <w:t xml:space="preserve">50.0%</w:t>
            </w:r>
          </w:p>
        </w:tc>
        <w:tc>
          <w:tcPr/>
          <w:p>
            <w:pPr>
              <w:pStyle w:val="Compact"/>
            </w:pPr>
            <w:r>
              <w:t xml:space="preserve">52.9%</w:t>
            </w:r>
          </w:p>
        </w:tc>
        <w:tc>
          <w:tcPr/>
          <w:p>
            <w:pPr>
              <w:pStyle w:val="Compact"/>
            </w:pPr>
            <w:r>
              <w:t xml:space="preserve">39</w:t>
            </w:r>
          </w:p>
        </w:tc>
        <w:tc>
          <w:tcPr/>
          <w:p>
            <w:pPr>
              <w:pStyle w:val="Compact"/>
            </w:pPr>
            <w:r>
              <w:t xml:space="preserve">0.57</w:t>
            </w:r>
          </w:p>
        </w:tc>
      </w:tr>
      <w:tr>
        <w:tc>
          <w:tcPr/>
          <w:p>
            <w:pPr>
              <w:pStyle w:val="Compact"/>
            </w:pPr>
            <w:r>
              <w:t xml:space="preserve">Post-2020, S22-27</w:t>
            </w:r>
          </w:p>
        </w:tc>
        <w:tc>
          <w:tcPr/>
          <w:p>
            <w:pPr>
              <w:pStyle w:val="Compact"/>
            </w:pPr>
            <w:r>
              <w:t xml:space="preserve">98</w:t>
            </w:r>
          </w:p>
        </w:tc>
        <w:tc>
          <w:tcPr/>
          <w:p>
            <w:pPr>
              <w:pStyle w:val="Compact"/>
            </w:pPr>
            <w:r>
              <w:t xml:space="preserve">41</w:t>
            </w:r>
          </w:p>
        </w:tc>
        <w:tc>
          <w:tcPr/>
          <w:p>
            <w:pPr>
              <w:pStyle w:val="Compact"/>
            </w:pPr>
            <w:r>
              <w:t xml:space="preserve">41.8%</w:t>
            </w:r>
          </w:p>
        </w:tc>
        <w:tc>
          <w:tcPr/>
          <w:p>
            <w:pPr>
              <w:pStyle w:val="Compact"/>
            </w:pPr>
            <w:r>
              <w:t xml:space="preserve">42.9%</w:t>
            </w:r>
          </w:p>
        </w:tc>
        <w:tc>
          <w:tcPr/>
          <w:p>
            <w:pPr>
              <w:pStyle w:val="Compact"/>
            </w:pPr>
            <w:r>
              <w:t xml:space="preserve">55</w:t>
            </w:r>
          </w:p>
        </w:tc>
        <w:tc>
          <w:tcPr/>
          <w:p>
            <w:pPr>
              <w:pStyle w:val="Compact"/>
            </w:pPr>
            <w:r>
              <w:t xml:space="preserve">0.56</w:t>
            </w:r>
          </w:p>
        </w:tc>
      </w:tr>
    </w:tbl>
    <w:p>
      <w:pPr>
        <w:pStyle w:val="BodyText"/>
      </w:pPr>
      <w:r>
        <w:rPr>
          <w:i/>
          <w:iCs/>
        </w:rPr>
        <w:t xml:space="preserve">Note.</w:t>
      </w:r>
      <w:r>
        <w:t xml:space="preserve"> </w:t>
      </w:r>
      <w:r>
        <w:t xml:space="preserve">Era × false suspect (Y vs. not Y): χ²(2, N = 576) = 21.61, p &lt; .01. Under the Y+Maybe treatment: χ² = 25.11, p &lt; .01. Fifteen episodes carry the Maybe flag, including four with missing transcripts.</w:t>
      </w:r>
    </w:p>
    <w:p>
      <w:pPr>
        <w:pStyle w:val="BodyText"/>
      </w:pPr>
      <w:r>
        <w:rPr>
          <w:b/>
          <w:bCs/>
        </w:rPr>
        <w:t xml:space="preserve">Table 2. Conditional consequence severity and police apology, by era (person level, n = 536).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Era</w:t>
            </w:r>
          </w:p>
        </w:tc>
        <w:tc>
          <w:tcPr/>
          <w:p>
            <w:pPr>
              <w:pStyle w:val="Compact"/>
            </w:pPr>
            <w:r>
              <w:t xml:space="preserve">n</w:t>
            </w:r>
          </w:p>
        </w:tc>
        <w:tc>
          <w:tcPr/>
          <w:p>
            <w:pPr>
              <w:pStyle w:val="Compact"/>
            </w:pPr>
            <w:r>
              <w:t xml:space="preserve">Mean severity</w:t>
            </w:r>
          </w:p>
        </w:tc>
        <w:tc>
          <w:tcPr/>
          <w:p>
            <w:pPr>
              <w:pStyle w:val="Compact"/>
            </w:pPr>
            <w:r>
              <w:t xml:space="preserve">Severity 3-4</w:t>
            </w:r>
          </w:p>
        </w:tc>
        <w:tc>
          <w:tcPr/>
          <w:p>
            <w:pPr>
              <w:pStyle w:val="Compact"/>
            </w:pPr>
            <w:r>
              <w:t xml:space="preserve">Severity 4</w:t>
            </w:r>
          </w:p>
        </w:tc>
        <w:tc>
          <w:tcPr/>
          <w:p>
            <w:pPr>
              <w:pStyle w:val="Compact"/>
            </w:pPr>
            <w:r>
              <w:t xml:space="preserve">Any apology</w:t>
            </w:r>
          </w:p>
        </w:tc>
      </w:tr>
      <w:tr>
        <w:tc>
          <w:tcPr/>
          <w:p>
            <w:pPr>
              <w:pStyle w:val="Compact"/>
            </w:pPr>
            <w:r>
              <w:t xml:space="preserve">Pre-#MeToo, S1-18</w:t>
            </w:r>
          </w:p>
        </w:tc>
        <w:tc>
          <w:tcPr/>
          <w:p>
            <w:pPr>
              <w:pStyle w:val="Compact"/>
            </w:pPr>
            <w:r>
              <w:t xml:space="preserve">442</w:t>
            </w:r>
          </w:p>
        </w:tc>
        <w:tc>
          <w:tcPr/>
          <w:p>
            <w:pPr>
              <w:pStyle w:val="Compact"/>
            </w:pPr>
            <w:r>
              <w:t xml:space="preserve">2.67</w:t>
            </w:r>
          </w:p>
        </w:tc>
        <w:tc>
          <w:tcPr/>
          <w:p>
            <w:pPr>
              <w:pStyle w:val="Compact"/>
            </w:pPr>
            <w:r>
              <w:t xml:space="preserve">60.0% (265/442)</w:t>
            </w:r>
          </w:p>
        </w:tc>
        <w:tc>
          <w:tcPr/>
          <w:p>
            <w:pPr>
              <w:pStyle w:val="Compact"/>
            </w:pPr>
            <w:r>
              <w:t xml:space="preserve">20.1%</w:t>
            </w:r>
          </w:p>
        </w:tc>
        <w:tc>
          <w:tcPr/>
          <w:p>
            <w:pPr>
              <w:pStyle w:val="Compact"/>
            </w:pPr>
            <w:r>
              <w:t xml:space="preserve">7.7% (34/442)</w:t>
            </w:r>
          </w:p>
        </w:tc>
      </w:tr>
      <w:tr>
        <w:tc>
          <w:tcPr/>
          <w:p>
            <w:pPr>
              <w:pStyle w:val="Compact"/>
            </w:pPr>
            <w:r>
              <w:t xml:space="preserve">#MeToo era, S19-21</w:t>
            </w:r>
          </w:p>
        </w:tc>
        <w:tc>
          <w:tcPr/>
          <w:p>
            <w:pPr>
              <w:pStyle w:val="Compact"/>
            </w:pPr>
            <w:r>
              <w:t xml:space="preserve">39</w:t>
            </w:r>
          </w:p>
        </w:tc>
        <w:tc>
          <w:tcPr/>
          <w:p>
            <w:pPr>
              <w:pStyle w:val="Compact"/>
            </w:pPr>
            <w:r>
              <w:t xml:space="preserve">3.05</w:t>
            </w:r>
          </w:p>
        </w:tc>
        <w:tc>
          <w:tcPr/>
          <w:p>
            <w:pPr>
              <w:pStyle w:val="Compact"/>
            </w:pPr>
            <w:r>
              <w:t xml:space="preserve">82.1% (32/39)</w:t>
            </w:r>
          </w:p>
        </w:tc>
        <w:tc>
          <w:tcPr/>
          <w:p>
            <w:pPr>
              <w:pStyle w:val="Compact"/>
            </w:pPr>
            <w:r>
              <w:t xml:space="preserve">30.8%</w:t>
            </w:r>
          </w:p>
        </w:tc>
        <w:tc>
          <w:tcPr/>
          <w:p>
            <w:pPr>
              <w:pStyle w:val="Compact"/>
            </w:pPr>
            <w:r>
              <w:t xml:space="preserve">5.1% (2/39)</w:t>
            </w:r>
          </w:p>
        </w:tc>
      </w:tr>
      <w:tr>
        <w:tc>
          <w:tcPr/>
          <w:p>
            <w:pPr>
              <w:pStyle w:val="Compact"/>
            </w:pPr>
            <w:r>
              <w:t xml:space="preserve">Post-2020, S22-27</w:t>
            </w:r>
          </w:p>
        </w:tc>
        <w:tc>
          <w:tcPr/>
          <w:p>
            <w:pPr>
              <w:pStyle w:val="Compact"/>
            </w:pPr>
            <w:r>
              <w:t xml:space="preserve">55</w:t>
            </w:r>
          </w:p>
        </w:tc>
        <w:tc>
          <w:tcPr/>
          <w:p>
            <w:pPr>
              <w:pStyle w:val="Compact"/>
            </w:pPr>
            <w:r>
              <w:t xml:space="preserve">2.84</w:t>
            </w:r>
          </w:p>
        </w:tc>
        <w:tc>
          <w:tcPr/>
          <w:p>
            <w:pPr>
              <w:pStyle w:val="Compact"/>
            </w:pPr>
            <w:r>
              <w:t xml:space="preserve">67.3% (37/55)</w:t>
            </w:r>
          </w:p>
        </w:tc>
        <w:tc>
          <w:tcPr/>
          <w:p>
            <w:pPr>
              <w:pStyle w:val="Compact"/>
            </w:pPr>
            <w:r>
              <w:t xml:space="preserve">21.8%</w:t>
            </w:r>
          </w:p>
        </w:tc>
        <w:tc>
          <w:tcPr/>
          <w:p>
            <w:pPr>
              <w:pStyle w:val="Compact"/>
            </w:pPr>
            <w:r>
              <w:t xml:space="preserve">9.1% (5/55)</w:t>
            </w:r>
          </w:p>
        </w:tc>
      </w:tr>
    </w:tbl>
    <w:p>
      <w:pPr>
        <w:pStyle w:val="BodyText"/>
      </w:pPr>
      <w:r>
        <w:rPr>
          <w:i/>
          <w:iCs/>
        </w:rPr>
        <w:t xml:space="preserve">Note.</w:t>
      </w:r>
      <w:r>
        <w:t xml:space="preserve"> </w:t>
      </w:r>
      <w:r>
        <w:t xml:space="preserve">Era × severity (3-4 vs. 1-2): χ²(2, n = 536) = 8.09, p &lt; .05. Severity scale: 1 private harm, 2 public exposure without formal sanction, 3 material sanction, 4 life-altering or death.</w:t>
      </w:r>
    </w:p>
    <w:p>
      <w:pPr>
        <w:pStyle w:val="BodyText"/>
      </w:pPr>
      <w:r>
        <w:rPr>
          <w:b/>
          <w:bCs/>
        </w:rPr>
        <w:t xml:space="preserve">Table 3. Accusation origin by era (column % within era, n = 536).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Origin</w:t>
            </w:r>
          </w:p>
        </w:tc>
        <w:tc>
          <w:tcPr/>
          <w:p>
            <w:pPr>
              <w:pStyle w:val="Compact"/>
            </w:pPr>
            <w:r>
              <w:t xml:space="preserve">Pre-#MeToo, S1-18</w:t>
            </w:r>
          </w:p>
        </w:tc>
        <w:tc>
          <w:tcPr/>
          <w:p>
            <w:pPr>
              <w:pStyle w:val="Compact"/>
            </w:pPr>
            <w:r>
              <w:t xml:space="preserve">#MeToo era, S19-21</w:t>
            </w:r>
          </w:p>
        </w:tc>
        <w:tc>
          <w:tcPr/>
          <w:p>
            <w:pPr>
              <w:pStyle w:val="Compact"/>
            </w:pPr>
            <w:r>
              <w:t xml:space="preserve">Post-2020, S22-27</w:t>
            </w:r>
          </w:p>
        </w:tc>
      </w:tr>
      <w:tr>
        <w:tc>
          <w:tcPr/>
          <w:p>
            <w:pPr>
              <w:pStyle w:val="Compact"/>
            </w:pPr>
            <w:r>
              <w:t xml:space="preserve">squad_inference</w:t>
            </w:r>
          </w:p>
        </w:tc>
        <w:tc>
          <w:tcPr/>
          <w:p>
            <w:pPr>
              <w:pStyle w:val="Compact"/>
            </w:pPr>
            <w:r>
              <w:t xml:space="preserve">253 (57.2%)</w:t>
            </w:r>
          </w:p>
        </w:tc>
        <w:tc>
          <w:tcPr/>
          <w:p>
            <w:pPr>
              <w:pStyle w:val="Compact"/>
            </w:pPr>
            <w:r>
              <w:t xml:space="preserve">16 (41.0%)</w:t>
            </w:r>
          </w:p>
        </w:tc>
        <w:tc>
          <w:tcPr/>
          <w:p>
            <w:pPr>
              <w:pStyle w:val="Compact"/>
            </w:pPr>
            <w:r>
              <w:t xml:space="preserve">26 (47.3%)</w:t>
            </w:r>
          </w:p>
        </w:tc>
      </w:tr>
      <w:tr>
        <w:tc>
          <w:tcPr/>
          <w:p>
            <w:pPr>
              <w:pStyle w:val="Compact"/>
            </w:pPr>
            <w:r>
              <w:t xml:space="preserve">victim_ID</w:t>
            </w:r>
          </w:p>
        </w:tc>
        <w:tc>
          <w:tcPr/>
          <w:p>
            <w:pPr>
              <w:pStyle w:val="Compact"/>
            </w:pPr>
            <w:r>
              <w:t xml:space="preserve">67 (15.2%)</w:t>
            </w:r>
          </w:p>
        </w:tc>
        <w:tc>
          <w:tcPr/>
          <w:p>
            <w:pPr>
              <w:pStyle w:val="Compact"/>
            </w:pPr>
            <w:r>
              <w:t xml:space="preserve">12 (30.8%)</w:t>
            </w:r>
          </w:p>
        </w:tc>
        <w:tc>
          <w:tcPr/>
          <w:p>
            <w:pPr>
              <w:pStyle w:val="Compact"/>
            </w:pPr>
            <w:r>
              <w:t xml:space="preserve">16 (29.1%)</w:t>
            </w:r>
          </w:p>
        </w:tc>
      </w:tr>
      <w:tr>
        <w:tc>
          <w:tcPr/>
          <w:p>
            <w:pPr>
              <w:pStyle w:val="Compact"/>
            </w:pPr>
            <w:r>
              <w:t xml:space="preserve">fabrication</w:t>
            </w:r>
          </w:p>
        </w:tc>
        <w:tc>
          <w:tcPr/>
          <w:p>
            <w:pPr>
              <w:pStyle w:val="Compact"/>
            </w:pPr>
            <w:r>
              <w:t xml:space="preserve">56 (12.7%)</w:t>
            </w:r>
          </w:p>
        </w:tc>
        <w:tc>
          <w:tcPr/>
          <w:p>
            <w:pPr>
              <w:pStyle w:val="Compact"/>
            </w:pPr>
            <w:r>
              <w:t xml:space="preserve">7 (17.9%)</w:t>
            </w:r>
          </w:p>
        </w:tc>
        <w:tc>
          <w:tcPr/>
          <w:p>
            <w:pPr>
              <w:pStyle w:val="Compact"/>
            </w:pPr>
            <w:r>
              <w:t xml:space="preserve">3 (5.5%)</w:t>
            </w:r>
          </w:p>
        </w:tc>
      </w:tr>
      <w:tr>
        <w:tc>
          <w:tcPr/>
          <w:p>
            <w:pPr>
              <w:pStyle w:val="Compact"/>
            </w:pPr>
            <w:r>
              <w:t xml:space="preserve">witness_misID</w:t>
            </w:r>
          </w:p>
        </w:tc>
        <w:tc>
          <w:tcPr/>
          <w:p>
            <w:pPr>
              <w:pStyle w:val="Compact"/>
            </w:pPr>
            <w:r>
              <w:t xml:space="preserve">35 (7.9%)</w:t>
            </w:r>
          </w:p>
        </w:tc>
        <w:tc>
          <w:tcPr/>
          <w:p>
            <w:pPr>
              <w:pStyle w:val="Compact"/>
            </w:pPr>
            <w:r>
              <w:t xml:space="preserve">2 (5.1%)</w:t>
            </w:r>
          </w:p>
        </w:tc>
        <w:tc>
          <w:tcPr/>
          <w:p>
            <w:pPr>
              <w:pStyle w:val="Compact"/>
            </w:pPr>
            <w:r>
              <w:t xml:space="preserve">4 (7.3%)</w:t>
            </w:r>
          </w:p>
        </w:tc>
      </w:tr>
      <w:tr>
        <w:tc>
          <w:tcPr/>
          <w:p>
            <w:pPr>
              <w:pStyle w:val="Compact"/>
            </w:pPr>
            <w:r>
              <w:t xml:space="preserve">tech_db_error</w:t>
            </w:r>
          </w:p>
        </w:tc>
        <w:tc>
          <w:tcPr/>
          <w:p>
            <w:pPr>
              <w:pStyle w:val="Compact"/>
            </w:pPr>
            <w:r>
              <w:t xml:space="preserve">23 (5.2%)</w:t>
            </w:r>
          </w:p>
        </w:tc>
        <w:tc>
          <w:tcPr/>
          <w:p>
            <w:pPr>
              <w:pStyle w:val="Compact"/>
            </w:pPr>
            <w:r>
              <w:t xml:space="preserve">0 (0.0%)</w:t>
            </w:r>
          </w:p>
        </w:tc>
        <w:tc>
          <w:tcPr/>
          <w:p>
            <w:pPr>
              <w:pStyle w:val="Compact"/>
            </w:pPr>
            <w:r>
              <w:t xml:space="preserve">3 (5.5%)</w:t>
            </w:r>
          </w:p>
        </w:tc>
      </w:tr>
      <w:tr>
        <w:tc>
          <w:tcPr/>
          <w:p>
            <w:pPr>
              <w:pStyle w:val="Compact"/>
            </w:pPr>
            <w:r>
              <w:t xml:space="preserve">coerced_interview</w:t>
            </w:r>
          </w:p>
        </w:tc>
        <w:tc>
          <w:tcPr/>
          <w:p>
            <w:pPr>
              <w:pStyle w:val="Compact"/>
            </w:pPr>
            <w:r>
              <w:t xml:space="preserve">7 (1.6%)</w:t>
            </w:r>
          </w:p>
        </w:tc>
        <w:tc>
          <w:tcPr/>
          <w:p>
            <w:pPr>
              <w:pStyle w:val="Compact"/>
            </w:pPr>
            <w:r>
              <w:t xml:space="preserve">2 (5.1%)</w:t>
            </w:r>
          </w:p>
        </w:tc>
        <w:tc>
          <w:tcPr/>
          <w:p>
            <w:pPr>
              <w:pStyle w:val="Compact"/>
            </w:pPr>
            <w:r>
              <w:t xml:space="preserve">3 (5.5%)</w:t>
            </w:r>
          </w:p>
        </w:tc>
      </w:tr>
      <w:tr>
        <w:tc>
          <w:tcPr/>
          <w:p>
            <w:pPr>
              <w:pStyle w:val="Compact"/>
            </w:pPr>
            <w:r>
              <w:t xml:space="preserve">unknown</w:t>
            </w:r>
          </w:p>
        </w:tc>
        <w:tc>
          <w:tcPr/>
          <w:p>
            <w:pPr>
              <w:pStyle w:val="Compact"/>
            </w:pPr>
            <w:r>
              <w:t xml:space="preserve">1 (0.2%)</w:t>
            </w:r>
          </w:p>
        </w:tc>
        <w:tc>
          <w:tcPr/>
          <w:p>
            <w:pPr>
              <w:pStyle w:val="Compact"/>
            </w:pPr>
            <w:r>
              <w:t xml:space="preserve">0 (0.0%)</w:t>
            </w:r>
          </w:p>
        </w:tc>
        <w:tc>
          <w:tcPr/>
          <w:p>
            <w:pPr>
              <w:pStyle w:val="Compact"/>
            </w:pPr>
            <w:r>
              <w:t xml:space="preserve">0 (0.0%)</w:t>
            </w:r>
          </w:p>
        </w:tc>
      </w:tr>
      <w:tr>
        <w:tc>
          <w:tcPr/>
          <w:p>
            <w:pPr>
              <w:pStyle w:val="Compact"/>
            </w:pPr>
            <w:r>
              <w:rPr>
                <w:b/>
                <w:bCs/>
              </w:rPr>
              <w:t xml:space="preserve">n</w:t>
            </w:r>
          </w:p>
        </w:tc>
        <w:tc>
          <w:tcPr/>
          <w:p>
            <w:pPr>
              <w:pStyle w:val="Compact"/>
            </w:pPr>
            <w:r>
              <w:rPr>
                <w:b/>
                <w:bCs/>
              </w:rPr>
              <w:t xml:space="preserve">442</w:t>
            </w:r>
          </w:p>
        </w:tc>
        <w:tc>
          <w:tcPr/>
          <w:p>
            <w:pPr>
              <w:pStyle w:val="Compact"/>
            </w:pPr>
            <w:r>
              <w:rPr>
                <w:b/>
                <w:bCs/>
              </w:rPr>
              <w:t xml:space="preserve">39</w:t>
            </w:r>
          </w:p>
        </w:tc>
        <w:tc>
          <w:tcPr/>
          <w:p>
            <w:pPr>
              <w:pStyle w:val="Compact"/>
            </w:pPr>
            <w:r>
              <w:rPr>
                <w:b/>
                <w:bCs/>
              </w:rPr>
              <w:t xml:space="preserve">55</w:t>
            </w:r>
          </w:p>
        </w:tc>
      </w:tr>
    </w:tbl>
    <w:p>
      <w:pPr>
        <w:pStyle w:val="BodyText"/>
      </w:pPr>
      <w:r>
        <w:rPr>
          <w:i/>
          <w:iCs/>
        </w:rPr>
        <w:t xml:space="preserve">Note.</w:t>
      </w:r>
      <w:r>
        <w:t xml:space="preserve"> </w:t>
      </w:r>
      <w:r>
        <w:t xml:space="preserve">Era n for S19-21 and S22-27 are 39 and 55; swings under roughly ten points should be treated as noise.</w:t>
      </w:r>
    </w:p>
    <w:p>
      <w:pPr>
        <w:pStyle w:val="BodyText"/>
      </w:pPr>
      <w:r>
        <w:rPr>
          <w:b/>
          <w:bCs/>
        </w:rPr>
        <w:t xml:space="preserve">Table 4. Any police threat or coercion toward innocent persons, by era and by three-season block.</w:t>
      </w:r>
    </w:p>
    <w:p>
      <w:pPr>
        <w:pStyle w:val="BodyText"/>
      </w:pPr>
      <w:r>
        <w:t xml:space="preserve">Panel A. By era (pooled test nonsignificant: χ²(2, n = 536) = 5.10, p &gt; .05).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pPr>
            <w:r>
              <w:t xml:space="preserve">n</w:t>
            </w:r>
          </w:p>
        </w:tc>
        <w:tc>
          <w:tcPr/>
          <w:p>
            <w:pPr>
              <w:pStyle w:val="Compact"/>
            </w:pPr>
            <w:r>
              <w:t xml:space="preserve">Any threat/coercion</w:t>
            </w:r>
          </w:p>
        </w:tc>
        <w:tc>
          <w:tcPr/>
          <w:p>
            <w:pPr>
              <w:pStyle w:val="Compact"/>
            </w:pPr>
            <w:r>
              <w:t xml:space="preserve">Rate</w:t>
            </w:r>
          </w:p>
        </w:tc>
      </w:tr>
      <w:tr>
        <w:tc>
          <w:tcPr/>
          <w:p>
            <w:pPr>
              <w:pStyle w:val="Compact"/>
            </w:pPr>
            <w:r>
              <w:t xml:space="preserve">Pre-#MeToo, S1-18</w:t>
            </w:r>
          </w:p>
        </w:tc>
        <w:tc>
          <w:tcPr/>
          <w:p>
            <w:pPr>
              <w:pStyle w:val="Compact"/>
            </w:pPr>
            <w:r>
              <w:t xml:space="preserve">442</w:t>
            </w:r>
          </w:p>
        </w:tc>
        <w:tc>
          <w:tcPr/>
          <w:p>
            <w:pPr>
              <w:pStyle w:val="Compact"/>
            </w:pPr>
            <w:r>
              <w:t xml:space="preserve">235</w:t>
            </w:r>
          </w:p>
        </w:tc>
        <w:tc>
          <w:tcPr/>
          <w:p>
            <w:pPr>
              <w:pStyle w:val="Compact"/>
            </w:pPr>
            <w:r>
              <w:t xml:space="preserve">53.2%</w:t>
            </w:r>
          </w:p>
        </w:tc>
      </w:tr>
      <w:tr>
        <w:tc>
          <w:tcPr/>
          <w:p>
            <w:pPr>
              <w:pStyle w:val="Compact"/>
            </w:pPr>
            <w:r>
              <w:t xml:space="preserve">#MeToo era, S19-21</w:t>
            </w:r>
          </w:p>
        </w:tc>
        <w:tc>
          <w:tcPr/>
          <w:p>
            <w:pPr>
              <w:pStyle w:val="Compact"/>
            </w:pPr>
            <w:r>
              <w:t xml:space="preserve">39</w:t>
            </w:r>
          </w:p>
        </w:tc>
        <w:tc>
          <w:tcPr/>
          <w:p>
            <w:pPr>
              <w:pStyle w:val="Compact"/>
            </w:pPr>
            <w:r>
              <w:t xml:space="preserve">14</w:t>
            </w:r>
          </w:p>
        </w:tc>
        <w:tc>
          <w:tcPr/>
          <w:p>
            <w:pPr>
              <w:pStyle w:val="Compact"/>
            </w:pPr>
            <w:r>
              <w:t xml:space="preserve">35.9%</w:t>
            </w:r>
          </w:p>
        </w:tc>
      </w:tr>
      <w:tr>
        <w:tc>
          <w:tcPr/>
          <w:p>
            <w:pPr>
              <w:pStyle w:val="Compact"/>
            </w:pPr>
            <w:r>
              <w:t xml:space="preserve">Post-2020, S22-27</w:t>
            </w:r>
          </w:p>
        </w:tc>
        <w:tc>
          <w:tcPr/>
          <w:p>
            <w:pPr>
              <w:pStyle w:val="Compact"/>
            </w:pPr>
            <w:r>
              <w:t xml:space="preserve">55</w:t>
            </w:r>
          </w:p>
        </w:tc>
        <w:tc>
          <w:tcPr/>
          <w:p>
            <w:pPr>
              <w:pStyle w:val="Compact"/>
            </w:pPr>
            <w:r>
              <w:t xml:space="preserve">32</w:t>
            </w:r>
          </w:p>
        </w:tc>
        <w:tc>
          <w:tcPr/>
          <w:p>
            <w:pPr>
              <w:pStyle w:val="Compact"/>
            </w:pPr>
            <w:r>
              <w:t xml:space="preserve">58.2%</w:t>
            </w:r>
          </w:p>
        </w:tc>
      </w:tr>
    </w:tbl>
    <w:p>
      <w:pPr>
        <w:pStyle w:val="BodyText"/>
      </w:pPr>
      <w:r>
        <w:t xml:space="preserve">Panel B. By three-season block.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Seasons</w:t>
            </w:r>
          </w:p>
        </w:tc>
        <w:tc>
          <w:tcPr/>
          <w:p>
            <w:pPr>
              <w:pStyle w:val="Compact"/>
            </w:pPr>
            <w:r>
              <w:t xml:space="preserve">n</w:t>
            </w:r>
          </w:p>
        </w:tc>
        <w:tc>
          <w:tcPr/>
          <w:p>
            <w:pPr>
              <w:pStyle w:val="Compact"/>
            </w:pPr>
            <w:r>
              <w:t xml:space="preserve">Rate</w:t>
            </w:r>
          </w:p>
        </w:tc>
      </w:tr>
      <w:tr>
        <w:tc>
          <w:tcPr/>
          <w:p>
            <w:pPr>
              <w:pStyle w:val="Compact"/>
            </w:pPr>
            <w:r>
              <w:t xml:space="preserve">S1-3</w:t>
            </w:r>
          </w:p>
        </w:tc>
        <w:tc>
          <w:tcPr/>
          <w:p>
            <w:pPr>
              <w:pStyle w:val="Compact"/>
            </w:pPr>
            <w:r>
              <w:t xml:space="preserve">81</w:t>
            </w:r>
          </w:p>
        </w:tc>
        <w:tc>
          <w:tcPr/>
          <w:p>
            <w:pPr>
              <w:pStyle w:val="Compact"/>
            </w:pPr>
            <w:r>
              <w:t xml:space="preserve">54.3%</w:t>
            </w:r>
          </w:p>
        </w:tc>
      </w:tr>
      <w:tr>
        <w:tc>
          <w:tcPr/>
          <w:p>
            <w:pPr>
              <w:pStyle w:val="Compact"/>
            </w:pPr>
            <w:r>
              <w:t xml:space="preserve">S4-6</w:t>
            </w:r>
          </w:p>
        </w:tc>
        <w:tc>
          <w:tcPr/>
          <w:p>
            <w:pPr>
              <w:pStyle w:val="Compact"/>
            </w:pPr>
            <w:r>
              <w:t xml:space="preserve">95</w:t>
            </w:r>
          </w:p>
        </w:tc>
        <w:tc>
          <w:tcPr/>
          <w:p>
            <w:pPr>
              <w:pStyle w:val="Compact"/>
            </w:pPr>
            <w:r>
              <w:t xml:space="preserve">58.9%</w:t>
            </w:r>
          </w:p>
        </w:tc>
      </w:tr>
      <w:tr>
        <w:tc>
          <w:tcPr/>
          <w:p>
            <w:pPr>
              <w:pStyle w:val="Compact"/>
            </w:pPr>
            <w:r>
              <w:t xml:space="preserve">S7-9</w:t>
            </w:r>
          </w:p>
        </w:tc>
        <w:tc>
          <w:tcPr/>
          <w:p>
            <w:pPr>
              <w:pStyle w:val="Compact"/>
            </w:pPr>
            <w:r>
              <w:t xml:space="preserve">77</w:t>
            </w:r>
          </w:p>
        </w:tc>
        <w:tc>
          <w:tcPr/>
          <w:p>
            <w:pPr>
              <w:pStyle w:val="Compact"/>
            </w:pPr>
            <w:r>
              <w:t xml:space="preserve">58.4%</w:t>
            </w:r>
          </w:p>
        </w:tc>
      </w:tr>
      <w:tr>
        <w:tc>
          <w:tcPr/>
          <w:p>
            <w:pPr>
              <w:pStyle w:val="Compact"/>
            </w:pPr>
            <w:r>
              <w:t xml:space="preserve">S10-12</w:t>
            </w:r>
          </w:p>
        </w:tc>
        <w:tc>
          <w:tcPr/>
          <w:p>
            <w:pPr>
              <w:pStyle w:val="Compact"/>
            </w:pPr>
            <w:r>
              <w:t xml:space="preserve">78</w:t>
            </w:r>
          </w:p>
        </w:tc>
        <w:tc>
          <w:tcPr/>
          <w:p>
            <w:pPr>
              <w:pStyle w:val="Compact"/>
            </w:pPr>
            <w:r>
              <w:t xml:space="preserve">60.3%</w:t>
            </w:r>
          </w:p>
        </w:tc>
      </w:tr>
      <w:tr>
        <w:tc>
          <w:tcPr/>
          <w:p>
            <w:pPr>
              <w:pStyle w:val="Compact"/>
            </w:pPr>
            <w:r>
              <w:t xml:space="preserve">S13-15</w:t>
            </w:r>
          </w:p>
        </w:tc>
        <w:tc>
          <w:tcPr/>
          <w:p>
            <w:pPr>
              <w:pStyle w:val="Compact"/>
            </w:pPr>
            <w:r>
              <w:t xml:space="preserve">64</w:t>
            </w:r>
          </w:p>
        </w:tc>
        <w:tc>
          <w:tcPr/>
          <w:p>
            <w:pPr>
              <w:pStyle w:val="Compact"/>
            </w:pPr>
            <w:r>
              <w:t xml:space="preserve">46.9%</w:t>
            </w:r>
          </w:p>
        </w:tc>
      </w:tr>
      <w:tr>
        <w:tc>
          <w:tcPr/>
          <w:p>
            <w:pPr>
              <w:pStyle w:val="Compact"/>
            </w:pPr>
            <w:r>
              <w:t xml:space="preserve">S16-18</w:t>
            </w:r>
          </w:p>
        </w:tc>
        <w:tc>
          <w:tcPr/>
          <w:p>
            <w:pPr>
              <w:pStyle w:val="Compact"/>
            </w:pPr>
            <w:r>
              <w:t xml:space="preserve">47</w:t>
            </w:r>
          </w:p>
        </w:tc>
        <w:tc>
          <w:tcPr/>
          <w:p>
            <w:pPr>
              <w:pStyle w:val="Compact"/>
            </w:pPr>
            <w:r>
              <w:t xml:space="preserve">27.7%</w:t>
            </w:r>
          </w:p>
        </w:tc>
      </w:tr>
      <w:tr>
        <w:tc>
          <w:tcPr/>
          <w:p>
            <w:pPr>
              <w:pStyle w:val="Compact"/>
            </w:pPr>
            <w:r>
              <w:t xml:space="preserve">S19-21</w:t>
            </w:r>
          </w:p>
        </w:tc>
        <w:tc>
          <w:tcPr/>
          <w:p>
            <w:pPr>
              <w:pStyle w:val="Compact"/>
            </w:pPr>
            <w:r>
              <w:t xml:space="preserve">39</w:t>
            </w:r>
          </w:p>
        </w:tc>
        <w:tc>
          <w:tcPr/>
          <w:p>
            <w:pPr>
              <w:pStyle w:val="Compact"/>
            </w:pPr>
            <w:r>
              <w:t xml:space="preserve">35.9%</w:t>
            </w:r>
          </w:p>
        </w:tc>
      </w:tr>
      <w:tr>
        <w:tc>
          <w:tcPr/>
          <w:p>
            <w:pPr>
              <w:pStyle w:val="Compact"/>
            </w:pPr>
            <w:r>
              <w:t xml:space="preserve">S22-24</w:t>
            </w:r>
          </w:p>
        </w:tc>
        <w:tc>
          <w:tcPr/>
          <w:p>
            <w:pPr>
              <w:pStyle w:val="Compact"/>
            </w:pPr>
            <w:r>
              <w:t xml:space="preserve">30</w:t>
            </w:r>
          </w:p>
        </w:tc>
        <w:tc>
          <w:tcPr/>
          <w:p>
            <w:pPr>
              <w:pStyle w:val="Compact"/>
            </w:pPr>
            <w:r>
              <w:t xml:space="preserve">56.7%</w:t>
            </w:r>
          </w:p>
        </w:tc>
      </w:tr>
      <w:tr>
        <w:tc>
          <w:tcPr/>
          <w:p>
            <w:pPr>
              <w:pStyle w:val="Compact"/>
            </w:pPr>
            <w:r>
              <w:t xml:space="preserve">S25-27</w:t>
            </w:r>
          </w:p>
        </w:tc>
        <w:tc>
          <w:tcPr/>
          <w:p>
            <w:pPr>
              <w:pStyle w:val="Compact"/>
            </w:pPr>
            <w:r>
              <w:t xml:space="preserve">25</w:t>
            </w:r>
          </w:p>
        </w:tc>
        <w:tc>
          <w:tcPr/>
          <w:p>
            <w:pPr>
              <w:pStyle w:val="Compact"/>
            </w:pPr>
            <w:r>
              <w:t xml:space="preserve">60.0%</w:t>
            </w:r>
          </w:p>
        </w:tc>
      </w:tr>
    </w:tbl>
    <w:p>
      <w:pPr>
        <w:pStyle w:val="BodyText"/>
      </w:pPr>
      <w:r>
        <w:rPr>
          <w:i/>
          <w:iCs/>
        </w:rPr>
        <w:t xml:space="preserve">Note.</w:t>
      </w:r>
      <w:r>
        <w:t xml:space="preserve"> </w:t>
      </w:r>
      <w:r>
        <w:t xml:space="preserve">The dip begins at Season 15 (26.7%); Season 16 is the single lowest season (14.3%). The five lowest single seasons are S16 (14.3%), S24 (23.1%), S15 (26.7%), S19 (26.7%), and S18 (29.4%). Season cells after S14 hold 3 to 20 persons; blocks are the unit of inference.</w:t>
      </w:r>
    </w:p>
    <w:p>
      <w:pPr>
        <w:pStyle w:val="BodyText"/>
      </w:pPr>
      <w:r>
        <w:rPr>
          <w:b/>
          <w:bCs/>
        </w:rPr>
        <w:t xml:space="preserve">Table 5. Media exposure of falsely accused persons, by era.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pPr>
            <w:r>
              <w:t xml:space="preserve">n</w:t>
            </w:r>
          </w:p>
        </w:tc>
        <w:tc>
          <w:tcPr/>
          <w:p>
            <w:pPr>
              <w:pStyle w:val="Compact"/>
            </w:pPr>
            <w:r>
              <w:t xml:space="preserve">Media channel</w:t>
            </w:r>
          </w:p>
        </w:tc>
        <w:tc>
          <w:tcPr/>
          <w:p>
            <w:pPr>
              <w:pStyle w:val="Compact"/>
            </w:pPr>
            <w:r>
              <w:t xml:space="preserve">Media + online</w:t>
            </w:r>
          </w:p>
        </w:tc>
      </w:tr>
      <w:tr>
        <w:tc>
          <w:tcPr/>
          <w:p>
            <w:pPr>
              <w:pStyle w:val="Compact"/>
            </w:pPr>
            <w:r>
              <w:t xml:space="preserve">Pre-#MeToo, S1-18</w:t>
            </w:r>
          </w:p>
        </w:tc>
        <w:tc>
          <w:tcPr/>
          <w:p>
            <w:pPr>
              <w:pStyle w:val="Compact"/>
            </w:pPr>
            <w:r>
              <w:t xml:space="preserve">442</w:t>
            </w:r>
          </w:p>
        </w:tc>
        <w:tc>
          <w:tcPr/>
          <w:p>
            <w:pPr>
              <w:pStyle w:val="Compact"/>
            </w:pPr>
            <w:r>
              <w:t xml:space="preserve">66 (14.9%)</w:t>
            </w:r>
          </w:p>
        </w:tc>
        <w:tc>
          <w:tcPr/>
          <w:p>
            <w:pPr>
              <w:pStyle w:val="Compact"/>
            </w:pPr>
            <w:r>
              <w:t xml:space="preserve">67 (15.2%)</w:t>
            </w:r>
          </w:p>
        </w:tc>
      </w:tr>
      <w:tr>
        <w:tc>
          <w:tcPr/>
          <w:p>
            <w:pPr>
              <w:pStyle w:val="Compact"/>
            </w:pPr>
            <w:r>
              <w:t xml:space="preserve">#MeToo era, S19-21</w:t>
            </w:r>
          </w:p>
        </w:tc>
        <w:tc>
          <w:tcPr/>
          <w:p>
            <w:pPr>
              <w:pStyle w:val="Compact"/>
            </w:pPr>
            <w:r>
              <w:t xml:space="preserve">39</w:t>
            </w:r>
          </w:p>
        </w:tc>
        <w:tc>
          <w:tcPr/>
          <w:p>
            <w:pPr>
              <w:pStyle w:val="Compact"/>
            </w:pPr>
            <w:r>
              <w:t xml:space="preserve">13 (33.3%)</w:t>
            </w:r>
          </w:p>
        </w:tc>
        <w:tc>
          <w:tcPr/>
          <w:p>
            <w:pPr>
              <w:pStyle w:val="Compact"/>
            </w:pPr>
            <w:r>
              <w:t xml:space="preserve">13 (33.3%)</w:t>
            </w:r>
          </w:p>
        </w:tc>
      </w:tr>
      <w:tr>
        <w:tc>
          <w:tcPr/>
          <w:p>
            <w:pPr>
              <w:pStyle w:val="Compact"/>
            </w:pPr>
            <w:r>
              <w:t xml:space="preserve">Post-2020, S22-27</w:t>
            </w:r>
          </w:p>
        </w:tc>
        <w:tc>
          <w:tcPr/>
          <w:p>
            <w:pPr>
              <w:pStyle w:val="Compact"/>
            </w:pPr>
            <w:r>
              <w:t xml:space="preserve">55</w:t>
            </w:r>
          </w:p>
        </w:tc>
        <w:tc>
          <w:tcPr/>
          <w:p>
            <w:pPr>
              <w:pStyle w:val="Compact"/>
            </w:pPr>
            <w:r>
              <w:t xml:space="preserve">8 (14.5%)</w:t>
            </w:r>
          </w:p>
        </w:tc>
        <w:tc>
          <w:tcPr/>
          <w:p>
            <w:pPr>
              <w:pStyle w:val="Compact"/>
            </w:pPr>
            <w:r>
              <w:t xml:space="preserve">9 (16.4%)</w:t>
            </w:r>
          </w:p>
        </w:tc>
      </w:tr>
    </w:tbl>
    <w:p>
      <w:pPr>
        <w:pStyle w:val="BodyText"/>
      </w:pPr>
      <w:r>
        <w:rPr>
          <w:i/>
          <w:iCs/>
        </w:rPr>
        <w:t xml:space="preserve">Note.</w:t>
      </w:r>
      <w:r>
        <w:t xml:space="preserve"> </w:t>
      </w:r>
      <w:r>
        <w:t xml:space="preserve">Full exposure-channel distributions by era, including workplace, family, school, legal, and church channels, are available from the author; only the media channel moves appreciably across eras.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2026-07-05T07:26:59Z</dcterms:created>
  <dcterms:modified xsi:type="dcterms:W3CDTF">2026-07-05T07:26:59Z</dcterms:modified>
</cp:coreProperties>
</file>

<file path=docProps/custom.xml><?xml version="1.0" encoding="utf-8"?>
<Properties xmlns="http://schemas.openxmlformats.org/officeDocument/2006/custom-properties" xmlns:vt="http://schemas.openxmlformats.org/officeDocument/2006/docPropsVTypes"/>
</file>