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rFonts w:ascii="Calibri" w:hAnsi="Calibri" w:eastAsia="Microsoft JhengHei"/>
          <w:b w:val="0"/>
          <w:i w:val="0"/>
          <w:sz w:val="22"/>
        </w:rPr>
      </w:r>
    </w:p>
    <w:p>
      <w:pPr>
        <w:spacing w:after="160"/>
        <w:jc w:val="center"/>
      </w:pPr>
      <w:r>
        <w:rPr>
          <w:rFonts w:ascii="Calibri" w:hAnsi="Calibri" w:eastAsia="Microsoft JhengHei"/>
          <w:b/>
          <w:i w:val="0"/>
          <w:sz w:val="48"/>
        </w:rPr>
        <w:t>HoloGrip 系統論文實驗計畫書（方案 B：小人力版）</w:t>
      </w:r>
    </w:p>
    <w:p>
      <w:pPr>
        <w:spacing w:after="120"/>
        <w:jc w:val="center"/>
      </w:pPr>
      <w:r>
        <w:rPr>
          <w:rFonts w:ascii="Calibri" w:hAnsi="Calibri" w:eastAsia="Microsoft JhengHei"/>
          <w:b w:val="0"/>
          <w:i w:val="0"/>
          <w:sz w:val="28"/>
        </w:rPr>
        <w:t>穿戴式 IMU 空氣鼓系統：設計、魯棒性評估與 Agent 回饋原型</w:t>
      </w:r>
    </w:p>
    <w:p>
      <w:pPr>
        <w:spacing w:after="120"/>
        <w:jc w:val="center"/>
      </w:pPr>
      <w:r>
        <w:rPr>
          <w:rFonts w:ascii="Calibri" w:hAnsi="Calibri" w:eastAsia="Microsoft JhengHei"/>
          <w:b w:val="0"/>
          <w:i w:val="0"/>
          <w:color w:val="666666"/>
          <w:sz w:val="22"/>
        </w:rPr>
        <w:t>版本 1.0｜2026-07-11｜受試者僅需 2–3 人｜目標期刊：Sensors、Applied Sciences、IEEE Sensors Journal、IEEE Access</w:t>
      </w:r>
    </w:p>
    <w:p>
      <w:pPr>
        <w:spacing w:after="120"/>
        <w:jc w:val="center"/>
      </w:pPr>
      <w:r>
        <w:rPr>
          <w:rFonts w:ascii="Calibri" w:hAnsi="Calibri" w:eastAsia="Microsoft JhengHei"/>
          <w:b/>
          <w:i w:val="0"/>
          <w:sz w:val="22"/>
        </w:rPr>
        <w:t>與方案 A（20 人 HCI 實驗版）的關係：本方案為工程主張版本，不宣稱「回饋幫助學習」；方案 A 可留作後續第二篇。兩案的 Study 0 bench 部分完全共用。</w:t>
      </w:r>
    </w:p>
    <w:p>
      <w:r>
        <w:br w:type="page"/>
      </w:r>
    </w:p>
    <w:p>
      <w:pPr>
        <w:pStyle w:val="Heading1"/>
      </w:pPr>
      <w:r>
        <w:rPr>
          <w:rFonts w:ascii="Calibri" w:hAnsi="Calibri" w:eastAsia="Microsoft JhengHei"/>
          <w:b/>
          <w:i w:val="0"/>
          <w:color w:val="1F3864"/>
          <w:sz w:val="32"/>
        </w:rPr>
        <w:t>一、主張切換：為什麼 2–3 人就夠</w:t>
      </w:r>
    </w:p>
    <w:p>
      <w:pPr>
        <w:spacing w:after="120"/>
      </w:pPr>
      <w:r>
        <w:rPr>
          <w:rFonts w:ascii="Calibri" w:hAnsi="Calibri" w:eastAsia="Microsoft JhengHei"/>
          <w:b w:val="0"/>
          <w:i w:val="0"/>
          <w:sz w:val="22"/>
        </w:rPr>
        <w:t>論文主張決定樣本需求。方案 B 的主張全部是工程性的：系統設計合理、量測嚴謹、演算法與訊號處理經過系統性驗證、agent 層可執行且可追溯。這類主張以 bench 量測、離線分析與小樣本多場次資料支撐即可，系統與感測類期刊（Sensors、Applied Sciences 等）3–5 位受試者的論文屬常態。</w:t>
      </w:r>
    </w:p>
    <w:p>
      <w:pPr>
        <w:spacing w:after="120"/>
      </w:pPr>
      <w:r>
        <w:rPr>
          <w:rFonts w:ascii="Calibri" w:hAnsi="Calibri" w:eastAsia="Microsoft JhengHei"/>
          <w:b w:val="0"/>
          <w:i w:val="0"/>
          <w:sz w:val="22"/>
        </w:rPr>
        <w:t>明確不做的主張（審稿紅線）：不宣稱回饋提升學習成效、不宣稱跨大群體泛化、不把接收端延遲說成端到端延遲、不把 KNN 投票分數稱為機率。</w:t>
      </w:r>
    </w:p>
    <w:p>
      <w:pPr>
        <w:pStyle w:val="Heading1"/>
      </w:pPr>
      <w:r>
        <w:rPr>
          <w:rFonts w:ascii="Calibri" w:hAnsi="Calibri" w:eastAsia="Microsoft JhengHei"/>
          <w:b/>
          <w:i w:val="0"/>
          <w:color w:val="1F3864"/>
          <w:sz w:val="32"/>
        </w:rPr>
        <w:t>二、研究問題</w:t>
      </w:r>
    </w:p>
    <w:tbl>
      <w:tblPr>
        <w:tblStyle w:val="TableGrid"/>
        <w:tblW w:type="auto" w:w="0"/>
        <w:jc w:val="center"/>
        <w:tblLook w:firstColumn="1" w:firstRow="1" w:lastColumn="0" w:lastRow="0" w:noHBand="0" w:noVBand="1" w:val="04A0"/>
      </w:tblPr>
      <w:tblGrid>
        <w:gridCol w:w="2880"/>
        <w:gridCol w:w="2880"/>
        <w:gridCol w:w="2880"/>
      </w:tblGrid>
      <w:tr>
        <w:tc>
          <w:tcPr>
            <w:tcW w:type="dxa" w:w="737"/>
            <w:shd w:val="clear" w:fill="D9E2F3"/>
          </w:tcPr>
          <w:p>
            <w:r/>
            <w:r>
              <w:rPr>
                <w:rFonts w:ascii="Calibri" w:hAnsi="Calibri" w:eastAsia="Microsoft JhengHei"/>
                <w:b/>
                <w:i w:val="0"/>
                <w:sz w:val="20"/>
              </w:rPr>
              <w:t>編號</w:t>
            </w:r>
          </w:p>
        </w:tc>
        <w:tc>
          <w:tcPr>
            <w:tcW w:type="dxa" w:w="6066"/>
            <w:shd w:val="clear" w:fill="D9E2F3"/>
          </w:tcPr>
          <w:p>
            <w:r/>
            <w:r>
              <w:rPr>
                <w:rFonts w:ascii="Calibri" w:hAnsi="Calibri" w:eastAsia="Microsoft JhengHei"/>
                <w:b/>
                <w:i w:val="0"/>
                <w:sz w:val="20"/>
              </w:rPr>
              <w:t>研究問題</w:t>
            </w:r>
          </w:p>
        </w:tc>
        <w:tc>
          <w:tcPr>
            <w:tcW w:type="dxa" w:w="2494"/>
            <w:shd w:val="clear" w:fill="D9E2F3"/>
          </w:tcPr>
          <w:p>
            <w:r/>
            <w:r>
              <w:rPr>
                <w:rFonts w:ascii="Calibri" w:hAnsi="Calibri" w:eastAsia="Microsoft JhengHei"/>
                <w:b/>
                <w:i w:val="0"/>
                <w:sz w:val="20"/>
              </w:rPr>
              <w:t>所需人力</w:t>
            </w:r>
          </w:p>
        </w:tc>
      </w:tr>
      <w:tr>
        <w:tc>
          <w:tcPr>
            <w:tcW w:type="dxa" w:w="737"/>
          </w:tcPr>
          <w:p>
            <w:r/>
            <w:r>
              <w:rPr>
                <w:rFonts w:ascii="Calibri" w:hAnsi="Calibri" w:eastAsia="Microsoft JhengHei"/>
                <w:b w:val="0"/>
                <w:i w:val="0"/>
                <w:sz w:val="20"/>
              </w:rPr>
              <w:t>RQ1</w:t>
            </w:r>
          </w:p>
        </w:tc>
        <w:tc>
          <w:tcPr>
            <w:tcW w:type="dxa" w:w="6066"/>
          </w:tcPr>
          <w:p>
            <w:r/>
            <w:r>
              <w:rPr>
                <w:rFonts w:ascii="Calibri" w:hAnsi="Calibri" w:eastAsia="Microsoft JhengHei"/>
                <w:b w:val="0"/>
                <w:i w:val="0"/>
                <w:sz w:val="20"/>
              </w:rPr>
              <w:t>Type-C 供電分離改版是否在重量、體積、續航、傳輸與訊號品質上達標且不劣於舊版？</w:t>
            </w:r>
          </w:p>
        </w:tc>
        <w:tc>
          <w:tcPr>
            <w:tcW w:type="dxa" w:w="2494"/>
          </w:tcPr>
          <w:p>
            <w:r/>
            <w:r>
              <w:rPr>
                <w:rFonts w:ascii="Calibri" w:hAnsi="Calibri" w:eastAsia="Microsoft JhengHei"/>
                <w:b w:val="0"/>
                <w:i w:val="0"/>
                <w:sz w:val="20"/>
              </w:rPr>
              <w:t>0 人（bench）</w:t>
            </w:r>
          </w:p>
        </w:tc>
      </w:tr>
      <w:tr>
        <w:tc>
          <w:tcPr>
            <w:tcW w:type="dxa" w:w="737"/>
          </w:tcPr>
          <w:p>
            <w:r/>
            <w:r>
              <w:rPr>
                <w:rFonts w:ascii="Calibri" w:hAnsi="Calibri" w:eastAsia="Microsoft JhengHei"/>
                <w:b w:val="0"/>
                <w:i w:val="0"/>
                <w:sz w:val="20"/>
              </w:rPr>
              <w:t>RQ2</w:t>
            </w:r>
          </w:p>
        </w:tc>
        <w:tc>
          <w:tcPr>
            <w:tcW w:type="dxa" w:w="6066"/>
          </w:tcPr>
          <w:p>
            <w:r/>
            <w:r>
              <w:rPr>
                <w:rFonts w:ascii="Calibri" w:hAnsi="Calibri" w:eastAsia="Microsoft JhengHei"/>
                <w:b w:val="0"/>
                <w:i w:val="0"/>
                <w:sz w:val="20"/>
              </w:rPr>
              <w:t>四鼓位辨識的魯棒性：within-session、cross-session（跨天）、cross-user、靜態校準 vs 動態演奏的落差各是多少？</w:t>
            </w:r>
          </w:p>
        </w:tc>
        <w:tc>
          <w:tcPr>
            <w:tcW w:type="dxa" w:w="2494"/>
          </w:tcPr>
          <w:p>
            <w:r/>
            <w:r>
              <w:rPr>
                <w:rFonts w:ascii="Calibri" w:hAnsi="Calibri" w:eastAsia="Microsoft JhengHei"/>
                <w:b w:val="0"/>
                <w:i w:val="0"/>
                <w:sz w:val="20"/>
              </w:rPr>
              <w:t>3 人 × 3 天</w:t>
            </w:r>
          </w:p>
        </w:tc>
      </w:tr>
      <w:tr>
        <w:tc>
          <w:tcPr>
            <w:tcW w:type="dxa" w:w="737"/>
          </w:tcPr>
          <w:p>
            <w:r/>
            <w:r>
              <w:rPr>
                <w:rFonts w:ascii="Calibri" w:hAnsi="Calibri" w:eastAsia="Microsoft JhengHei"/>
                <w:b w:val="0"/>
                <w:i w:val="0"/>
                <w:sz w:val="20"/>
              </w:rPr>
              <w:t>RQ3</w:t>
            </w:r>
          </w:p>
        </w:tc>
        <w:tc>
          <w:tcPr>
            <w:tcW w:type="dxa" w:w="6066"/>
          </w:tcPr>
          <w:p>
            <w:r/>
            <w:r>
              <w:rPr>
                <w:rFonts w:ascii="Calibri" w:hAnsi="Calibri" w:eastAsia="Microsoft JhengHei"/>
                <w:b w:val="0"/>
                <w:i w:val="0"/>
                <w:sz w:val="20"/>
              </w:rPr>
              <w:t>訊號處理各模組（新防彈跳、重力朝向鎖定、動態校準）與分類器選擇各挽回／貢獻多少辨識率？</w:t>
            </w:r>
          </w:p>
        </w:tc>
        <w:tc>
          <w:tcPr>
            <w:tcW w:type="dxa" w:w="2494"/>
          </w:tcPr>
          <w:p>
            <w:r/>
            <w:r>
              <w:rPr>
                <w:rFonts w:ascii="Calibri" w:hAnsi="Calibri" w:eastAsia="Microsoft JhengHei"/>
                <w:b w:val="0"/>
                <w:i w:val="0"/>
                <w:sz w:val="20"/>
              </w:rPr>
              <w:t>0 人（離線重放）</w:t>
            </w:r>
          </w:p>
        </w:tc>
      </w:tr>
      <w:tr>
        <w:tc>
          <w:tcPr>
            <w:tcW w:type="dxa" w:w="737"/>
          </w:tcPr>
          <w:p>
            <w:r/>
            <w:r>
              <w:rPr>
                <w:rFonts w:ascii="Calibri" w:hAnsi="Calibri" w:eastAsia="Microsoft JhengHei"/>
                <w:b w:val="0"/>
                <w:i w:val="0"/>
                <w:sz w:val="20"/>
              </w:rPr>
              <w:t>RQ4</w:t>
            </w:r>
          </w:p>
        </w:tc>
        <w:tc>
          <w:tcPr>
            <w:tcW w:type="dxa" w:w="6066"/>
          </w:tcPr>
          <w:p>
            <w:r/>
            <w:r>
              <w:rPr>
                <w:rFonts w:ascii="Calibri" w:hAnsi="Calibri" w:eastAsia="Microsoft JhengHei"/>
                <w:b w:val="0"/>
                <w:i w:val="0"/>
                <w:sz w:val="20"/>
              </w:rPr>
              <w:t>規則式 agent 層是否能正確偵測混淆並產生可追溯的下一輪計畫？</w:t>
            </w:r>
          </w:p>
        </w:tc>
        <w:tc>
          <w:tcPr>
            <w:tcW w:type="dxa" w:w="2494"/>
          </w:tcPr>
          <w:p>
            <w:r/>
            <w:r>
              <w:rPr>
                <w:rFonts w:ascii="Calibri" w:hAnsi="Calibri" w:eastAsia="Microsoft JhengHei"/>
                <w:b w:val="0"/>
                <w:i w:val="0"/>
                <w:sz w:val="20"/>
              </w:rPr>
              <w:t>0 人（replay）＋3 個描述性案例</w:t>
            </w:r>
          </w:p>
        </w:tc>
      </w:tr>
    </w:tbl>
    <w:p>
      <w:pPr>
        <w:spacing w:after="80"/>
      </w:pPr>
    </w:p>
    <w:p>
      <w:pPr>
        <w:pStyle w:val="Heading1"/>
      </w:pPr>
      <w:r>
        <w:rPr>
          <w:rFonts w:ascii="Calibri" w:hAnsi="Calibri" w:eastAsia="Microsoft JhengHei"/>
          <w:b/>
          <w:i w:val="0"/>
          <w:color w:val="1F3864"/>
          <w:sz w:val="32"/>
        </w:rPr>
        <w:t>三、Study A：Bench 技術特性（RQ1，0 人）</w:t>
      </w:r>
    </w:p>
    <w:p>
      <w:pPr>
        <w:pStyle w:val="Heading2"/>
      </w:pPr>
      <w:r>
        <w:rPr>
          <w:rFonts w:ascii="Calibri" w:hAnsi="Calibri" w:eastAsia="Microsoft JhengHei"/>
          <w:b/>
          <w:i w:val="0"/>
          <w:color w:val="2E5395"/>
          <w:sz w:val="26"/>
        </w:rPr>
        <w:t>3.1 已有資料的檢核與修正</w:t>
      </w:r>
    </w:p>
    <w:p>
      <w:pPr>
        <w:pStyle w:val="ListBullet"/>
        <w:spacing w:after="60"/>
      </w:pPr>
      <w:r>
        <w:rPr>
          <w:rFonts w:ascii="Calibri" w:hAnsi="Calibri" w:eastAsia="Microsoft JhengHei"/>
          <w:b w:val="0"/>
          <w:i w:val="0"/>
          <w:sz w:val="22"/>
        </w:rPr>
        <w:t>已有：電池模組重量對比 33 g → 23 g、高度 2.7 → 2.2（單位標示為 mm，實為 cm，論文引用前必須修正）</w:t>
      </w:r>
    </w:p>
    <w:p>
      <w:pPr>
        <w:pStyle w:val="ListBullet"/>
        <w:spacing w:after="60"/>
      </w:pPr>
      <w:r>
        <w:rPr>
          <w:rFonts w:ascii="Calibri" w:hAnsi="Calibri" w:eastAsia="Microsoft JhengHei"/>
          <w:b w:val="0"/>
          <w:i w:val="0"/>
          <w:sz w:val="22"/>
        </w:rPr>
        <w:t>已有：續航 6:24、充電 2:13、10,000 封包測試（99.96 Hz、0% 丟包、接收端延遲指標 11.75 ms）、data_format.md 規格書</w:t>
      </w:r>
    </w:p>
    <w:p>
      <w:pPr>
        <w:pStyle w:val="ListBullet"/>
        <w:spacing w:after="60"/>
      </w:pPr>
      <w:r>
        <w:rPr>
          <w:rFonts w:ascii="Calibri" w:hAnsi="Calibri" w:eastAsia="Microsoft JhengHei"/>
          <w:b w:val="0"/>
          <w:i w:val="0"/>
          <w:sz w:val="22"/>
        </w:rPr>
        <w:t>待補：整組穿戴總重（感測端＋供電端＋束帶，新舊各一次）；新方案供電移至手腕，記錄兩端重量分布</w:t>
      </w:r>
    </w:p>
    <w:p>
      <w:pPr>
        <w:pStyle w:val="ListBullet"/>
        <w:spacing w:after="60"/>
      </w:pPr>
      <w:r>
        <w:rPr>
          <w:rFonts w:ascii="Calibri" w:hAnsi="Calibri" w:eastAsia="Microsoft JhengHei"/>
          <w:b w:val="0"/>
          <w:i w:val="0"/>
          <w:sz w:val="22"/>
        </w:rPr>
        <w:t>待補：Type-C 新版之續航、充電時間、含燈號負載續航</w:t>
      </w:r>
    </w:p>
    <w:p>
      <w:pPr>
        <w:pStyle w:val="ListBullet"/>
        <w:spacing w:after="60"/>
      </w:pPr>
      <w:r>
        <w:rPr>
          <w:rFonts w:ascii="Calibri" w:hAnsi="Calibri" w:eastAsia="Microsoft JhengHei"/>
          <w:b w:val="0"/>
          <w:i w:val="0"/>
          <w:sz w:val="22"/>
        </w:rPr>
        <w:t>待補：靜態漂移（靜置 10 分鐘）與動態漂移（連續揮動 10 分鐘）之 Yaw 殘餘偏移，新舊各測</w:t>
      </w:r>
    </w:p>
    <w:p>
      <w:pPr>
        <w:pStyle w:val="Heading2"/>
      </w:pPr>
      <w:r>
        <w:rPr>
          <w:rFonts w:ascii="Calibri" w:hAnsi="Calibri" w:eastAsia="Microsoft JhengHei"/>
          <w:b/>
          <w:i w:val="0"/>
          <w:color w:val="2E5395"/>
          <w:sz w:val="26"/>
        </w:rPr>
        <w:t>3.2 端到端延遲量測（本案重點技術貢獻，取代「接收端指標」）</w:t>
      </w:r>
    </w:p>
    <w:p>
      <w:pPr>
        <w:pStyle w:val="ListBullet"/>
        <w:spacing w:after="60"/>
      </w:pPr>
      <w:r>
        <w:rPr>
          <w:rFonts w:ascii="Calibri" w:hAnsi="Calibri" w:eastAsia="Microsoft JhengHei"/>
          <w:b w:val="0"/>
          <w:i w:val="0"/>
          <w:sz w:val="22"/>
        </w:rPr>
        <w:t>方法：手機慢動作攝影（240 fps，時間解析度約 4.2 ms）同框拍攝「手部擊底瞬間」與「螢幕/音訊回應」，逐格數影格差</w:t>
      </w:r>
    </w:p>
    <w:p>
      <w:pPr>
        <w:pStyle w:val="ListBullet"/>
        <w:spacing w:after="60"/>
      </w:pPr>
      <w:r>
        <w:rPr>
          <w:rFonts w:ascii="Calibri" w:hAnsi="Calibri" w:eastAsia="Microsoft JhengHei"/>
          <w:b w:val="0"/>
          <w:i w:val="0"/>
          <w:sz w:val="22"/>
        </w:rPr>
        <w:t>每種條件量 30 次打擊，報告平均、SD 與分佈（含 UI 顯示延遲與音訊輸出延遲兩種終點）</w:t>
      </w:r>
    </w:p>
    <w:p>
      <w:pPr>
        <w:pStyle w:val="ListBullet"/>
        <w:spacing w:after="60"/>
      </w:pPr>
      <w:r>
        <w:rPr>
          <w:rFonts w:ascii="Calibri" w:hAnsi="Calibri" w:eastAsia="Microsoft JhengHei"/>
          <w:b w:val="0"/>
          <w:i w:val="0"/>
          <w:sz w:val="22"/>
        </w:rPr>
        <w:t>補充：螢幕本身的刷新與音訊緩衝延遲以已知方法扣除或如實報告為系統總延遲</w:t>
      </w:r>
    </w:p>
    <w:p>
      <w:pPr>
        <w:pStyle w:val="ListBullet"/>
        <w:spacing w:after="60"/>
      </w:pPr>
      <w:r>
        <w:rPr>
          <w:rFonts w:ascii="Calibri" w:hAnsi="Calibri" w:eastAsia="Microsoft JhengHei"/>
          <w:b w:val="0"/>
          <w:i w:val="0"/>
          <w:sz w:val="22"/>
        </w:rPr>
        <w:t>此量測完成後，論文即可正當宣稱 end-to-end latency，是與同類論文的直接差異化點</w:t>
      </w:r>
    </w:p>
    <w:p>
      <w:pPr>
        <w:pStyle w:val="Heading2"/>
      </w:pPr>
      <w:r>
        <w:rPr>
          <w:rFonts w:ascii="Calibri" w:hAnsi="Calibri" w:eastAsia="Microsoft JhengHei"/>
          <w:b/>
          <w:i w:val="0"/>
          <w:color w:val="2E5395"/>
          <w:sz w:val="26"/>
        </w:rPr>
        <w:t>3.3 傳輸壓力測試</w:t>
      </w:r>
    </w:p>
    <w:p>
      <w:pPr>
        <w:spacing w:after="120"/>
      </w:pPr>
      <w:r>
        <w:rPr>
          <w:rFonts w:ascii="Calibri" w:hAnsi="Calibri" w:eastAsia="Microsoft JhengHei"/>
          <w:b w:val="0"/>
          <w:i w:val="0"/>
          <w:sz w:val="22"/>
        </w:rPr>
        <w:t>沿用 10,000 封包測試方法，新版重跑一次；另加干擾情境（同室多裝置 2.4 GHz）各一輪，報告封包率、丟包、間隔抖動分佈與 &gt;50 ms 間隙次數。</w:t>
      </w:r>
    </w:p>
    <w:p>
      <w:pPr>
        <w:pStyle w:val="Heading1"/>
      </w:pPr>
      <w:r>
        <w:rPr>
          <w:rFonts w:ascii="Calibri" w:hAnsi="Calibri" w:eastAsia="Microsoft JhengHei"/>
          <w:b/>
          <w:i w:val="0"/>
          <w:color w:val="1F3864"/>
          <w:sz w:val="32"/>
        </w:rPr>
        <w:t>四、Study B：多天多場次辨識魯棒性（RQ2，3 人 × 3 場）</w:t>
      </w:r>
    </w:p>
    <w:p>
      <w:pPr>
        <w:pStyle w:val="Heading2"/>
      </w:pPr>
      <w:r>
        <w:rPr>
          <w:rFonts w:ascii="Calibri" w:hAnsi="Calibri" w:eastAsia="Microsoft JhengHei"/>
          <w:b/>
          <w:i w:val="0"/>
          <w:color w:val="2E5395"/>
          <w:sz w:val="26"/>
        </w:rPr>
        <w:t>4.1 設計</w:t>
      </w:r>
    </w:p>
    <w:p>
      <w:pPr>
        <w:pStyle w:val="ListBullet"/>
        <w:spacing w:after="60"/>
      </w:pPr>
      <w:r>
        <w:rPr>
          <w:rFonts w:ascii="Calibri" w:hAnsi="Calibri" w:eastAsia="Microsoft JhengHei"/>
          <w:b w:val="0"/>
          <w:i w:val="0"/>
          <w:sz w:val="22"/>
        </w:rPr>
        <w:t>受試者 3 位（建議至少 1 位非開發成員，避免『只有開發者會用』的質疑），右手，四鼓位（取鼓中間）</w:t>
      </w:r>
    </w:p>
    <w:p>
      <w:pPr>
        <w:pStyle w:val="ListBullet"/>
        <w:spacing w:after="60"/>
      </w:pPr>
      <w:r>
        <w:rPr>
          <w:rFonts w:ascii="Calibri" w:hAnsi="Calibri" w:eastAsia="Microsoft JhengHei"/>
          <w:b w:val="0"/>
          <w:i w:val="0"/>
          <w:sz w:val="22"/>
        </w:rPr>
        <w:t>每人 3 場，間隔 ≥ 24 小時（跨天）；同一硬體、同一空間、固定流程</w:t>
      </w:r>
    </w:p>
    <w:p>
      <w:pPr>
        <w:pStyle w:val="ListBullet"/>
        <w:spacing w:after="60"/>
      </w:pPr>
      <w:r>
        <w:rPr>
          <w:rFonts w:ascii="Calibri" w:hAnsi="Calibri" w:eastAsia="Microsoft JhengHei"/>
          <w:b w:val="0"/>
          <w:i w:val="0"/>
          <w:sz w:val="22"/>
        </w:rPr>
        <w:t>每場約 35 分鐘：配戴 → 動態校準（4 鼓位 × 30 下）→ 靜態式測驗 24 下 → 動態隨機序列測驗 48 下（節拍器 70 BPM，4 區各 12 下）→ 自由演奏 1 分鐘（存原始流供質性觀察）</w:t>
      </w:r>
    </w:p>
    <w:p>
      <w:pPr>
        <w:pStyle w:val="ListBullet"/>
        <w:spacing w:after="60"/>
      </w:pPr>
      <w:r>
        <w:rPr>
          <w:rFonts w:ascii="Calibri" w:hAnsi="Calibri" w:eastAsia="Microsoft JhengHei"/>
          <w:b w:val="0"/>
          <w:i w:val="0"/>
          <w:sz w:val="22"/>
        </w:rPr>
        <w:t>全程錄影（手部＋UI，每 phase 開頭三連擊同步標記），供物理落點標註：區分 user error 與 model error</w:t>
      </w:r>
    </w:p>
    <w:p>
      <w:pPr>
        <w:pStyle w:val="ListBullet"/>
        <w:spacing w:after="60"/>
      </w:pPr>
      <w:r>
        <w:rPr>
          <w:rFonts w:ascii="Calibri" w:hAnsi="Calibri" w:eastAsia="Microsoft JhengHei"/>
          <w:b w:val="0"/>
          <w:i w:val="0"/>
          <w:sz w:val="22"/>
        </w:rPr>
        <w:t>關鍵：全程同步記錄 100 Hz 原始 IMU 串流（不只打擊事件），這使 Study C 的所有訊號處理 ablation 都能離線重放，不必再找人</w:t>
      </w:r>
    </w:p>
    <w:p>
      <w:pPr>
        <w:pStyle w:val="Heading2"/>
      </w:pPr>
      <w:r>
        <w:rPr>
          <w:rFonts w:ascii="Calibri" w:hAnsi="Calibri" w:eastAsia="Microsoft JhengHei"/>
          <w:b/>
          <w:i w:val="0"/>
          <w:color w:val="2E5395"/>
          <w:sz w:val="26"/>
        </w:rPr>
        <w:t>4.2 分析矩陣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val="clear" w:fill="D9E2F3"/>
          </w:tcPr>
          <w:p>
            <w:r/>
            <w:r>
              <w:rPr>
                <w:rFonts w:ascii="Calibri" w:hAnsi="Calibri" w:eastAsia="Microsoft JhengHei"/>
                <w:b/>
                <w:i w:val="0"/>
                <w:sz w:val="20"/>
              </w:rPr>
              <w:t>層級</w:t>
            </w:r>
          </w:p>
        </w:tc>
        <w:tc>
          <w:tcPr>
            <w:tcW w:type="dxa" w:w="2211"/>
            <w:shd w:val="clear" w:fill="D9E2F3"/>
          </w:tcPr>
          <w:p>
            <w:r/>
            <w:r>
              <w:rPr>
                <w:rFonts w:ascii="Calibri" w:hAnsi="Calibri" w:eastAsia="Microsoft JhengHei"/>
                <w:b/>
                <w:i w:val="0"/>
                <w:sz w:val="20"/>
              </w:rPr>
              <w:t>訓練資料</w:t>
            </w:r>
          </w:p>
        </w:tc>
        <w:tc>
          <w:tcPr>
            <w:tcW w:type="dxa" w:w="2381"/>
            <w:shd w:val="clear" w:fill="D9E2F3"/>
          </w:tcPr>
          <w:p>
            <w:r/>
            <w:r>
              <w:rPr>
                <w:rFonts w:ascii="Calibri" w:hAnsi="Calibri" w:eastAsia="Microsoft JhengHei"/>
                <w:b/>
                <w:i w:val="0"/>
                <w:sz w:val="20"/>
              </w:rPr>
              <w:t>測試資料</w:t>
            </w:r>
          </w:p>
        </w:tc>
        <w:tc>
          <w:tcPr>
            <w:tcW w:type="dxa" w:w="2891"/>
            <w:shd w:val="clear" w:fill="D9E2F3"/>
          </w:tcPr>
          <w:p>
            <w:r/>
            <w:r>
              <w:rPr>
                <w:rFonts w:ascii="Calibri" w:hAnsi="Calibri" w:eastAsia="Microsoft JhengHei"/>
                <w:b/>
                <w:i w:val="0"/>
                <w:sz w:val="20"/>
              </w:rPr>
              <w:t>回答什麼</w:t>
            </w:r>
          </w:p>
        </w:tc>
      </w:tr>
      <w:tr>
        <w:tc>
          <w:tcPr>
            <w:tcW w:type="dxa" w:w="1814"/>
          </w:tcPr>
          <w:p>
            <w:r/>
            <w:r>
              <w:rPr>
                <w:rFonts w:ascii="Calibri" w:hAnsi="Calibri" w:eastAsia="Microsoft JhengHei"/>
                <w:b w:val="0"/>
                <w:i w:val="0"/>
                <w:sz w:val="20"/>
              </w:rPr>
              <w:t>Within-session</w:t>
            </w:r>
          </w:p>
        </w:tc>
        <w:tc>
          <w:tcPr>
            <w:tcW w:type="dxa" w:w="2211"/>
          </w:tcPr>
          <w:p>
            <w:r/>
            <w:r>
              <w:rPr>
                <w:rFonts w:ascii="Calibri" w:hAnsi="Calibri" w:eastAsia="Microsoft JhengHei"/>
                <w:b w:val="0"/>
                <w:i w:val="0"/>
                <w:sz w:val="20"/>
              </w:rPr>
              <w:t>當場校準（LOO-CV）</w:t>
            </w:r>
          </w:p>
        </w:tc>
        <w:tc>
          <w:tcPr>
            <w:tcW w:type="dxa" w:w="2381"/>
          </w:tcPr>
          <w:p>
            <w:r/>
            <w:r>
              <w:rPr>
                <w:rFonts w:ascii="Calibri" w:hAnsi="Calibri" w:eastAsia="Microsoft JhengHei"/>
                <w:b w:val="0"/>
                <w:i w:val="0"/>
                <w:sz w:val="20"/>
              </w:rPr>
              <w:t>當場</w:t>
            </w:r>
          </w:p>
        </w:tc>
        <w:tc>
          <w:tcPr>
            <w:tcW w:type="dxa" w:w="2891"/>
          </w:tcPr>
          <w:p>
            <w:r/>
            <w:r>
              <w:rPr>
                <w:rFonts w:ascii="Calibri" w:hAnsi="Calibri" w:eastAsia="Microsoft JhengHei"/>
                <w:b w:val="0"/>
                <w:i w:val="0"/>
                <w:sz w:val="20"/>
              </w:rPr>
              <w:t>同場可分性（對照舊 97.86%）</w:t>
            </w:r>
          </w:p>
        </w:tc>
      </w:tr>
      <w:tr>
        <w:tc>
          <w:tcPr>
            <w:tcW w:type="dxa" w:w="1814"/>
          </w:tcPr>
          <w:p>
            <w:r/>
            <w:r>
              <w:rPr>
                <w:rFonts w:ascii="Calibri" w:hAnsi="Calibri" w:eastAsia="Microsoft JhengHei"/>
                <w:b w:val="0"/>
                <w:i w:val="0"/>
                <w:sz w:val="20"/>
              </w:rPr>
              <w:t>Cross-session</w:t>
            </w:r>
          </w:p>
        </w:tc>
        <w:tc>
          <w:tcPr>
            <w:tcW w:type="dxa" w:w="2211"/>
          </w:tcPr>
          <w:p>
            <w:r/>
            <w:r>
              <w:rPr>
                <w:rFonts w:ascii="Calibri" w:hAnsi="Calibri" w:eastAsia="Microsoft JhengHei"/>
                <w:b w:val="0"/>
                <w:i w:val="0"/>
                <w:sz w:val="20"/>
              </w:rPr>
              <w:t>第 1 天校準</w:t>
            </w:r>
          </w:p>
        </w:tc>
        <w:tc>
          <w:tcPr>
            <w:tcW w:type="dxa" w:w="2381"/>
          </w:tcPr>
          <w:p>
            <w:r/>
            <w:r>
              <w:rPr>
                <w:rFonts w:ascii="Calibri" w:hAnsi="Calibri" w:eastAsia="Microsoft JhengHei"/>
                <w:b w:val="0"/>
                <w:i w:val="0"/>
                <w:sz w:val="20"/>
              </w:rPr>
              <w:t>第 2、3 天測驗</w:t>
            </w:r>
          </w:p>
        </w:tc>
        <w:tc>
          <w:tcPr>
            <w:tcW w:type="dxa" w:w="2891"/>
          </w:tcPr>
          <w:p>
            <w:r/>
            <w:r>
              <w:rPr>
                <w:rFonts w:ascii="Calibri" w:hAnsi="Calibri" w:eastAsia="Microsoft JhengHei"/>
                <w:b w:val="0"/>
                <w:i w:val="0"/>
                <w:sz w:val="20"/>
              </w:rPr>
              <w:t>隔天還準不準（IMU 系統核心疑慮）</w:t>
            </w:r>
          </w:p>
        </w:tc>
      </w:tr>
      <w:tr>
        <w:tc>
          <w:tcPr>
            <w:tcW w:type="dxa" w:w="1814"/>
          </w:tcPr>
          <w:p>
            <w:r/>
            <w:r>
              <w:rPr>
                <w:rFonts w:ascii="Calibri" w:hAnsi="Calibri" w:eastAsia="Microsoft JhengHei"/>
                <w:b w:val="0"/>
                <w:i w:val="0"/>
                <w:sz w:val="20"/>
              </w:rPr>
              <w:t>Cross-user</w:t>
            </w:r>
          </w:p>
        </w:tc>
        <w:tc>
          <w:tcPr>
            <w:tcW w:type="dxa" w:w="2211"/>
          </w:tcPr>
          <w:p>
            <w:r/>
            <w:r>
              <w:rPr>
                <w:rFonts w:ascii="Calibri" w:hAnsi="Calibri" w:eastAsia="Microsoft JhengHei"/>
                <w:b w:val="0"/>
                <w:i w:val="0"/>
                <w:sz w:val="20"/>
              </w:rPr>
              <w:t>其他 2 人資料</w:t>
            </w:r>
          </w:p>
        </w:tc>
        <w:tc>
          <w:tcPr>
            <w:tcW w:type="dxa" w:w="2381"/>
          </w:tcPr>
          <w:p>
            <w:r/>
            <w:r>
              <w:rPr>
                <w:rFonts w:ascii="Calibri" w:hAnsi="Calibri" w:eastAsia="Microsoft JhengHei"/>
                <w:b w:val="0"/>
                <w:i w:val="0"/>
                <w:sz w:val="20"/>
              </w:rPr>
              <w:t>本人測驗</w:t>
            </w:r>
          </w:p>
        </w:tc>
        <w:tc>
          <w:tcPr>
            <w:tcW w:type="dxa" w:w="2891"/>
          </w:tcPr>
          <w:p>
            <w:r/>
            <w:r>
              <w:rPr>
                <w:rFonts w:ascii="Calibri" w:hAnsi="Calibri" w:eastAsia="Microsoft JhengHei"/>
                <w:b w:val="0"/>
                <w:i w:val="0"/>
                <w:sz w:val="20"/>
              </w:rPr>
              <w:t>通用模型 vs 個人化模型差距</w:t>
            </w:r>
          </w:p>
        </w:tc>
      </w:tr>
      <w:tr>
        <w:tc>
          <w:tcPr>
            <w:tcW w:type="dxa" w:w="1814"/>
          </w:tcPr>
          <w:p>
            <w:r/>
            <w:r>
              <w:rPr>
                <w:rFonts w:ascii="Calibri" w:hAnsi="Calibri" w:eastAsia="Microsoft JhengHei"/>
                <w:b w:val="0"/>
                <w:i w:val="0"/>
                <w:sz w:val="20"/>
              </w:rPr>
              <w:t>靜態 vs 動態</w:t>
            </w:r>
          </w:p>
        </w:tc>
        <w:tc>
          <w:tcPr>
            <w:tcW w:type="dxa" w:w="2211"/>
          </w:tcPr>
          <w:p>
            <w:r/>
            <w:r>
              <w:rPr>
                <w:rFonts w:ascii="Calibri" w:hAnsi="Calibri" w:eastAsia="Microsoft JhengHei"/>
                <w:b w:val="0"/>
                <w:i w:val="0"/>
                <w:sz w:val="20"/>
              </w:rPr>
              <w:t>當場校準</w:t>
            </w:r>
          </w:p>
        </w:tc>
        <w:tc>
          <w:tcPr>
            <w:tcW w:type="dxa" w:w="2381"/>
          </w:tcPr>
          <w:p>
            <w:r/>
            <w:r>
              <w:rPr>
                <w:rFonts w:ascii="Calibri" w:hAnsi="Calibri" w:eastAsia="Microsoft JhengHei"/>
                <w:b w:val="0"/>
                <w:i w:val="0"/>
                <w:sz w:val="20"/>
              </w:rPr>
              <w:t>靜態式 24 下 vs 動態 48 下</w:t>
            </w:r>
          </w:p>
        </w:tc>
        <w:tc>
          <w:tcPr>
            <w:tcW w:type="dxa" w:w="2891"/>
          </w:tcPr>
          <w:p>
            <w:r/>
            <w:r>
              <w:rPr>
                <w:rFonts w:ascii="Calibri" w:hAnsi="Calibri" w:eastAsia="Microsoft JhengHei"/>
                <w:b w:val="0"/>
                <w:i w:val="0"/>
                <w:sz w:val="20"/>
              </w:rPr>
              <w:t>量化 6/17 發現的姿態落差</w:t>
            </w:r>
          </w:p>
        </w:tc>
      </w:tr>
    </w:tbl>
    <w:p>
      <w:pPr>
        <w:spacing w:after="80"/>
      </w:pPr>
    </w:p>
    <w:p>
      <w:pPr>
        <w:spacing w:after="120"/>
      </w:pPr>
      <w:r>
        <w:rPr>
          <w:rFonts w:ascii="Calibri" w:hAnsi="Calibri" w:eastAsia="Microsoft JhengHei"/>
          <w:b w:val="0"/>
          <w:i w:val="0"/>
          <w:sz w:val="22"/>
        </w:rPr>
        <w:t>統計處理：小樣本不做母體推論，全部以逐人逐場透明報告＋bootstrap 95% 信賴區間呈現；重點是型態一致性而非 p 值。</w:t>
      </w:r>
    </w:p>
    <w:p>
      <w:pPr>
        <w:pStyle w:val="Heading1"/>
      </w:pPr>
      <w:r>
        <w:rPr>
          <w:rFonts w:ascii="Calibri" w:hAnsi="Calibri" w:eastAsia="Microsoft JhengHei"/>
          <w:b/>
          <w:i w:val="0"/>
          <w:color w:val="1F3864"/>
          <w:sz w:val="32"/>
        </w:rPr>
        <w:t>五、Study C：離線 Ablation 與演算法比較（RQ3，0 人）</w:t>
      </w:r>
    </w:p>
    <w:p>
      <w:pPr>
        <w:pStyle w:val="ListBullet"/>
        <w:spacing w:after="60"/>
      </w:pPr>
      <w:r>
        <w:rPr>
          <w:rFonts w:ascii="Calibri" w:hAnsi="Calibri" w:eastAsia="Microsoft JhengHei"/>
          <w:b w:val="0"/>
          <w:i w:val="0"/>
          <w:sz w:val="22"/>
        </w:rPr>
        <w:t>訊號處理 ablation（用 Study B 錄下的原始串流重放）：舊防彈跳（250 ms 閾值法）vs 新防彈跳（150 ms＋30–140 ms 回溯）；重力朝向鎖定開／關；各自對打擊偵測（漏擊、多擊）與辨識率的影響</w:t>
      </w:r>
    </w:p>
    <w:p>
      <w:pPr>
        <w:pStyle w:val="ListBullet"/>
        <w:spacing w:after="60"/>
      </w:pPr>
      <w:r>
        <w:rPr>
          <w:rFonts w:ascii="Calibri" w:hAnsi="Calibri" w:eastAsia="Microsoft JhengHei"/>
          <w:b w:val="0"/>
          <w:i w:val="0"/>
          <w:sz w:val="22"/>
        </w:rPr>
        <w:t>校準方式對比：靜態校準 vs 動態校準訓練出的模型，在動態測驗上的辨識率差</w:t>
      </w:r>
    </w:p>
    <w:p>
      <w:pPr>
        <w:pStyle w:val="ListBullet"/>
        <w:spacing w:after="60"/>
      </w:pPr>
      <w:r>
        <w:rPr>
          <w:rFonts w:ascii="Calibri" w:hAnsi="Calibri" w:eastAsia="Microsoft JhengHei"/>
          <w:b w:val="0"/>
          <w:i w:val="0"/>
          <w:sz w:val="22"/>
        </w:rPr>
        <w:t>分類器比較（同一資料、同一交叉驗證切分）：KNN（k=3/5/7、distance/uniform）、SVM（RBF）、隨機森林、邏輯迴歸、小型 MLP；報告正確率、推論時間、記憶體</w:t>
      </w:r>
    </w:p>
    <w:p>
      <w:pPr>
        <w:pStyle w:val="ListBullet"/>
        <w:spacing w:after="60"/>
      </w:pPr>
      <w:r>
        <w:rPr>
          <w:rFonts w:ascii="Calibri" w:hAnsi="Calibri" w:eastAsia="Microsoft JhengHei"/>
          <w:b w:val="0"/>
          <w:i w:val="0"/>
          <w:sz w:val="22"/>
        </w:rPr>
        <w:t>特徵消融：Yaw／Pitch／SwingDepth 單獨與組合（延續 preliminary study 的分析到 4 鼓位多人資料）</w:t>
      </w:r>
    </w:p>
    <w:p>
      <w:pPr>
        <w:pStyle w:val="ListBullet"/>
        <w:spacing w:after="60"/>
      </w:pPr>
      <w:r>
        <w:rPr>
          <w:rFonts w:ascii="Calibri" w:hAnsi="Calibri" w:eastAsia="Microsoft JhengHei"/>
          <w:b w:val="0"/>
          <w:i w:val="0"/>
          <w:sz w:val="22"/>
        </w:rPr>
        <w:t>信心分數分析：投票分數與正確性的關係曲線（reliability diagram，說明未校準現況與校準空間）</w:t>
      </w:r>
    </w:p>
    <w:p>
      <w:pPr>
        <w:pStyle w:val="Heading1"/>
      </w:pPr>
      <w:r>
        <w:rPr>
          <w:rFonts w:ascii="Calibri" w:hAnsi="Calibri" w:eastAsia="Microsoft JhengHei"/>
          <w:b/>
          <w:i w:val="0"/>
          <w:color w:val="1F3864"/>
          <w:sz w:val="32"/>
        </w:rPr>
        <w:t>六、Study D：Agent 層 Replay 評估（RQ4，0 人＋3 案例）</w:t>
      </w:r>
    </w:p>
    <w:p>
      <w:pPr>
        <w:pStyle w:val="ListBullet"/>
        <w:spacing w:after="60"/>
      </w:pPr>
      <w:r>
        <w:rPr>
          <w:rFonts w:ascii="Calibri" w:hAnsi="Calibri" w:eastAsia="Microsoft JhengHei"/>
          <w:b w:val="0"/>
          <w:i w:val="0"/>
          <w:sz w:val="22"/>
        </w:rPr>
        <w:t>合成注入測試：對錄好的資料集注入已知混淆型態（如把 A 區部分樣本的 Yaw 平移至 B 區邊界），驗證 agent 是否正確偵測最大混淆、選對行動類型、產生符合規則的任務規格；掃描不同混淆強度，報告偵測率</w:t>
      </w:r>
    </w:p>
    <w:p>
      <w:pPr>
        <w:pStyle w:val="ListBullet"/>
        <w:spacing w:after="60"/>
      </w:pPr>
      <w:r>
        <w:rPr>
          <w:rFonts w:ascii="Calibri" w:hAnsi="Calibri" w:eastAsia="Microsoft JhengHei"/>
          <w:b w:val="0"/>
          <w:i w:val="0"/>
          <w:sz w:val="22"/>
        </w:rPr>
        <w:t>決策一致性：同一輸入重複執行輸出相同（確定性驗證）；所有決策皆可由 log 追溯到證據</w:t>
      </w:r>
    </w:p>
    <w:p>
      <w:pPr>
        <w:pStyle w:val="ListBullet"/>
        <w:spacing w:after="60"/>
      </w:pPr>
      <w:r>
        <w:rPr>
          <w:rFonts w:ascii="Calibri" w:hAnsi="Calibri" w:eastAsia="Microsoft JhengHei"/>
          <w:b w:val="0"/>
          <w:i w:val="0"/>
          <w:sz w:val="22"/>
        </w:rPr>
        <w:t>描述性案例 3 則：Study B 每位受試者一則——agent 對其實際資料產生的診斷與計畫，附受試者簡短意見（不做量表統計，僅質性引述）</w:t>
      </w:r>
    </w:p>
    <w:p>
      <w:pPr>
        <w:pStyle w:val="ListBullet"/>
        <w:spacing w:after="60"/>
      </w:pPr>
      <w:r>
        <w:rPr>
          <w:rFonts w:ascii="Calibri" w:hAnsi="Calibri" w:eastAsia="Microsoft JhengHei"/>
          <w:b w:val="0"/>
          <w:i w:val="0"/>
          <w:sz w:val="22"/>
        </w:rPr>
        <w:t>論文措辭：agent 為 demonstrated component，教學成效驗證明確寫入 future work（引用方案 A 設計）</w:t>
      </w:r>
    </w:p>
    <w:p>
      <w:pPr>
        <w:pStyle w:val="Heading1"/>
      </w:pPr>
      <w:r>
        <w:rPr>
          <w:rFonts w:ascii="Calibri" w:hAnsi="Calibri" w:eastAsia="Microsoft JhengHei"/>
          <w:b/>
          <w:i w:val="0"/>
          <w:color w:val="1F3864"/>
          <w:sz w:val="32"/>
        </w:rPr>
        <w:t>七、人力與時程</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fill="D9E2F3"/>
          </w:tcPr>
          <w:p>
            <w:r/>
            <w:r>
              <w:rPr>
                <w:rFonts w:ascii="Calibri" w:hAnsi="Calibri" w:eastAsia="Microsoft JhengHei"/>
                <w:b/>
                <w:i w:val="0"/>
                <w:sz w:val="20"/>
              </w:rPr>
              <w:t>項目</w:t>
            </w:r>
          </w:p>
        </w:tc>
        <w:tc>
          <w:tcPr>
            <w:tcW w:type="dxa" w:w="2608"/>
            <w:shd w:val="clear" w:fill="D9E2F3"/>
          </w:tcPr>
          <w:p>
            <w:r/>
            <w:r>
              <w:rPr>
                <w:rFonts w:ascii="Calibri" w:hAnsi="Calibri" w:eastAsia="Microsoft JhengHei"/>
                <w:b/>
                <w:i w:val="0"/>
                <w:sz w:val="20"/>
              </w:rPr>
              <w:t>人力</w:t>
            </w:r>
          </w:p>
        </w:tc>
        <w:tc>
          <w:tcPr>
            <w:tcW w:type="dxa" w:w="3288"/>
            <w:shd w:val="clear" w:fill="D9E2F3"/>
          </w:tcPr>
          <w:p>
            <w:r/>
            <w:r>
              <w:rPr>
                <w:rFonts w:ascii="Calibri" w:hAnsi="Calibri" w:eastAsia="Microsoft JhengHei"/>
                <w:b/>
                <w:i w:val="0"/>
                <w:sz w:val="20"/>
              </w:rPr>
              <w:t>預估時間</w:t>
            </w:r>
          </w:p>
        </w:tc>
      </w:tr>
      <w:tr>
        <w:tc>
          <w:tcPr>
            <w:tcW w:type="dxa" w:w="3402"/>
          </w:tcPr>
          <w:p>
            <w:r/>
            <w:r>
              <w:rPr>
                <w:rFonts w:ascii="Calibri" w:hAnsi="Calibri" w:eastAsia="Microsoft JhengHei"/>
                <w:b w:val="0"/>
                <w:i w:val="0"/>
                <w:sz w:val="20"/>
              </w:rPr>
              <w:t>Study A bench＋端到端延遲</w:t>
            </w:r>
          </w:p>
        </w:tc>
        <w:tc>
          <w:tcPr>
            <w:tcW w:type="dxa" w:w="2608"/>
          </w:tcPr>
          <w:p>
            <w:r/>
            <w:r>
              <w:rPr>
                <w:rFonts w:ascii="Calibri" w:hAnsi="Calibri" w:eastAsia="Microsoft JhengHei"/>
                <w:b w:val="0"/>
                <w:i w:val="0"/>
                <w:sz w:val="20"/>
              </w:rPr>
              <w:t>團隊自行</w:t>
            </w:r>
          </w:p>
        </w:tc>
        <w:tc>
          <w:tcPr>
            <w:tcW w:type="dxa" w:w="3288"/>
          </w:tcPr>
          <w:p>
            <w:r/>
            <w:r>
              <w:rPr>
                <w:rFonts w:ascii="Calibri" w:hAnsi="Calibri" w:eastAsia="Microsoft JhengHei"/>
                <w:b w:val="0"/>
                <w:i w:val="0"/>
                <w:sz w:val="20"/>
              </w:rPr>
              <w:t>2–3 個工作天</w:t>
            </w:r>
          </w:p>
        </w:tc>
      </w:tr>
      <w:tr>
        <w:tc>
          <w:tcPr>
            <w:tcW w:type="dxa" w:w="3402"/>
          </w:tcPr>
          <w:p>
            <w:r/>
            <w:r>
              <w:rPr>
                <w:rFonts w:ascii="Calibri" w:hAnsi="Calibri" w:eastAsia="Microsoft JhengHei"/>
                <w:b w:val="0"/>
                <w:i w:val="0"/>
                <w:sz w:val="20"/>
              </w:rPr>
              <w:t>Study B 收案</w:t>
            </w:r>
          </w:p>
        </w:tc>
        <w:tc>
          <w:tcPr>
            <w:tcW w:type="dxa" w:w="2608"/>
          </w:tcPr>
          <w:p>
            <w:r/>
            <w:r>
              <w:rPr>
                <w:rFonts w:ascii="Calibri" w:hAnsi="Calibri" w:eastAsia="Microsoft JhengHei"/>
                <w:b w:val="0"/>
                <w:i w:val="0"/>
                <w:sz w:val="20"/>
              </w:rPr>
              <w:t>3 人 × 3 場 × 35 分</w:t>
            </w:r>
          </w:p>
        </w:tc>
        <w:tc>
          <w:tcPr>
            <w:tcW w:type="dxa" w:w="3288"/>
          </w:tcPr>
          <w:p>
            <w:r/>
            <w:r>
              <w:rPr>
                <w:rFonts w:ascii="Calibri" w:hAnsi="Calibri" w:eastAsia="Microsoft JhengHei"/>
                <w:b w:val="0"/>
                <w:i w:val="0"/>
                <w:sz w:val="20"/>
              </w:rPr>
              <w:t>受試者總時數約 5.5 小時，跨 1–2 週</w:t>
            </w:r>
          </w:p>
        </w:tc>
      </w:tr>
      <w:tr>
        <w:tc>
          <w:tcPr>
            <w:tcW w:type="dxa" w:w="3402"/>
          </w:tcPr>
          <w:p>
            <w:r/>
            <w:r>
              <w:rPr>
                <w:rFonts w:ascii="Calibri" w:hAnsi="Calibri" w:eastAsia="Microsoft JhengHei"/>
                <w:b w:val="0"/>
                <w:i w:val="0"/>
                <w:sz w:val="20"/>
              </w:rPr>
              <w:t>影片標註（僅 Study B 測驗段）</w:t>
            </w:r>
          </w:p>
        </w:tc>
        <w:tc>
          <w:tcPr>
            <w:tcW w:type="dxa" w:w="2608"/>
          </w:tcPr>
          <w:p>
            <w:r/>
            <w:r>
              <w:rPr>
                <w:rFonts w:ascii="Calibri" w:hAnsi="Calibri" w:eastAsia="Microsoft JhengHei"/>
                <w:b w:val="0"/>
                <w:i w:val="0"/>
                <w:sz w:val="20"/>
              </w:rPr>
              <w:t>標註者 1＋抽查者 1</w:t>
            </w:r>
          </w:p>
        </w:tc>
        <w:tc>
          <w:tcPr>
            <w:tcW w:type="dxa" w:w="3288"/>
          </w:tcPr>
          <w:p>
            <w:r/>
            <w:r>
              <w:rPr>
                <w:rFonts w:ascii="Calibri" w:hAnsi="Calibri" w:eastAsia="Microsoft JhengHei"/>
                <w:b w:val="0"/>
                <w:i w:val="0"/>
                <w:sz w:val="20"/>
              </w:rPr>
              <w:t>約 (24+48)×9 = 648 擊，2–3 天</w:t>
            </w:r>
          </w:p>
        </w:tc>
      </w:tr>
      <w:tr>
        <w:tc>
          <w:tcPr>
            <w:tcW w:type="dxa" w:w="3402"/>
          </w:tcPr>
          <w:p>
            <w:r/>
            <w:r>
              <w:rPr>
                <w:rFonts w:ascii="Calibri" w:hAnsi="Calibri" w:eastAsia="Microsoft JhengHei"/>
                <w:b w:val="0"/>
                <w:i w:val="0"/>
                <w:sz w:val="20"/>
              </w:rPr>
              <w:t>Study C／D 離線分析</w:t>
            </w:r>
          </w:p>
        </w:tc>
        <w:tc>
          <w:tcPr>
            <w:tcW w:type="dxa" w:w="2608"/>
          </w:tcPr>
          <w:p>
            <w:r/>
            <w:r>
              <w:rPr>
                <w:rFonts w:ascii="Calibri" w:hAnsi="Calibri" w:eastAsia="Microsoft JhengHei"/>
                <w:b w:val="0"/>
                <w:i w:val="0"/>
                <w:sz w:val="20"/>
              </w:rPr>
              <w:t>團隊自行</w:t>
            </w:r>
          </w:p>
        </w:tc>
        <w:tc>
          <w:tcPr>
            <w:tcW w:type="dxa" w:w="3288"/>
          </w:tcPr>
          <w:p>
            <w:r/>
            <w:r>
              <w:rPr>
                <w:rFonts w:ascii="Calibri" w:hAnsi="Calibri" w:eastAsia="Microsoft JhengHei"/>
                <w:b w:val="0"/>
                <w:i w:val="0"/>
                <w:sz w:val="20"/>
              </w:rPr>
              <w:t>1–2 週</w:t>
            </w:r>
          </w:p>
        </w:tc>
      </w:tr>
      <w:tr>
        <w:tc>
          <w:tcPr>
            <w:tcW w:type="dxa" w:w="3402"/>
          </w:tcPr>
          <w:p>
            <w:r/>
            <w:r>
              <w:rPr>
                <w:rFonts w:ascii="Calibri" w:hAnsi="Calibri" w:eastAsia="Microsoft JhengHei"/>
                <w:b w:val="0"/>
                <w:i w:val="0"/>
                <w:sz w:val="20"/>
              </w:rPr>
              <w:t>撰稿（套用 Manuscript Skeleton）</w:t>
            </w:r>
          </w:p>
        </w:tc>
        <w:tc>
          <w:tcPr>
            <w:tcW w:type="dxa" w:w="2608"/>
          </w:tcPr>
          <w:p>
            <w:r/>
            <w:r>
              <w:rPr>
                <w:rFonts w:ascii="Calibri" w:hAnsi="Calibri" w:eastAsia="Microsoft JhengHei"/>
                <w:b w:val="0"/>
                <w:i w:val="0"/>
                <w:sz w:val="20"/>
              </w:rPr>
              <w:t>—</w:t>
            </w:r>
          </w:p>
        </w:tc>
        <w:tc>
          <w:tcPr>
            <w:tcW w:type="dxa" w:w="3288"/>
          </w:tcPr>
          <w:p>
            <w:r/>
            <w:r>
              <w:rPr>
                <w:rFonts w:ascii="Calibri" w:hAnsi="Calibri" w:eastAsia="Microsoft JhengHei"/>
                <w:b w:val="0"/>
                <w:i w:val="0"/>
                <w:sz w:val="20"/>
              </w:rPr>
              <w:t>2–3 週</w:t>
            </w:r>
          </w:p>
        </w:tc>
      </w:tr>
    </w:tbl>
    <w:p>
      <w:pPr>
        <w:spacing w:after="80"/>
      </w:pPr>
    </w:p>
    <w:p>
      <w:pPr>
        <w:spacing w:after="120"/>
      </w:pPr>
      <w:r>
        <w:rPr>
          <w:rFonts w:ascii="Calibri" w:hAnsi="Calibri" w:eastAsia="Microsoft JhengHei"/>
          <w:b w:val="0"/>
          <w:i w:val="0"/>
          <w:sz w:val="22"/>
        </w:rPr>
        <w:t>IRB 已申請：小樣本收案沿用同一核可範圍，僅需確認同意書與錄影條款涵蓋本流程。</w:t>
      </w:r>
    </w:p>
    <w:p>
      <w:pPr>
        <w:pStyle w:val="Heading1"/>
      </w:pPr>
      <w:r>
        <w:rPr>
          <w:rFonts w:ascii="Calibri" w:hAnsi="Calibri" w:eastAsia="Microsoft JhengHei"/>
          <w:b/>
          <w:i w:val="0"/>
          <w:color w:val="1F3864"/>
          <w:sz w:val="32"/>
        </w:rPr>
        <w:t>八、與方案 A 的取捨與共用</w:t>
      </w:r>
    </w:p>
    <w:p>
      <w:pPr>
        <w:pStyle w:val="ListBullet"/>
        <w:spacing w:after="60"/>
      </w:pPr>
      <w:r>
        <w:rPr>
          <w:rFonts w:ascii="Calibri" w:hAnsi="Calibri" w:eastAsia="Microsoft JhengHei"/>
          <w:b w:val="0"/>
          <w:i w:val="0"/>
          <w:sz w:val="22"/>
        </w:rPr>
        <w:t>方案 B 不能宣稱：回饋提升學習、使用者體驗優劣、母體泛化。貢獻由工程深度支撐：端到端延遲量測、跨天魯棒性矩陣、原始串流重放 ablation、可追溯 agent 驗證</w:t>
      </w:r>
    </w:p>
    <w:p>
      <w:pPr>
        <w:pStyle w:val="ListBullet"/>
        <w:spacing w:after="60"/>
      </w:pPr>
      <w:r>
        <w:rPr>
          <w:rFonts w:ascii="Calibri" w:hAnsi="Calibri" w:eastAsia="Microsoft JhengHei"/>
          <w:b w:val="0"/>
          <w:i w:val="0"/>
          <w:sz w:val="22"/>
        </w:rPr>
        <w:t>完全共用：Study 0/A bench 清單、hit-level 記錄欄位（hit_log_template.csv）、影片同步與標註方法、物理量定義表（附錄 B）</w:t>
      </w:r>
    </w:p>
    <w:p>
      <w:pPr>
        <w:pStyle w:val="ListBullet"/>
        <w:spacing w:after="60"/>
      </w:pPr>
      <w:r>
        <w:rPr>
          <w:rFonts w:ascii="Calibri" w:hAnsi="Calibri" w:eastAsia="Microsoft JhengHei"/>
          <w:b w:val="0"/>
          <w:i w:val="0"/>
          <w:sz w:val="22"/>
        </w:rPr>
        <w:t>若方案 B 順利發表，方案 A 的 20 人實驗可作為第二篇（HCI 期刊），屆時 Study B 的 3 人資料直接變成其 pilot</w:t>
      </w:r>
    </w:p>
    <w:p>
      <w:pPr>
        <w:pStyle w:val="Heading1"/>
      </w:pPr>
      <w:r>
        <w:rPr>
          <w:rFonts w:ascii="Calibri" w:hAnsi="Calibri" w:eastAsia="Microsoft JhengHei"/>
          <w:b/>
          <w:i w:val="0"/>
          <w:color w:val="1F3864"/>
          <w:sz w:val="32"/>
        </w:rPr>
        <w:t>九、收案前檢查清單</w:t>
      </w:r>
    </w:p>
    <w:p>
      <w:pPr>
        <w:pStyle w:val="ListBullet"/>
        <w:spacing w:after="60"/>
      </w:pPr>
      <w:r>
        <w:rPr>
          <w:rFonts w:ascii="Calibri" w:hAnsi="Calibri" w:eastAsia="Microsoft JhengHei"/>
          <w:b w:val="0"/>
          <w:i w:val="0"/>
          <w:sz w:val="22"/>
        </w:rPr>
        <w:t>□ 尺寸單位修正（mm → cm）並補量整組穿戴總重（新舊）</w:t>
      </w:r>
    </w:p>
    <w:p>
      <w:pPr>
        <w:pStyle w:val="ListBullet"/>
        <w:spacing w:after="60"/>
      </w:pPr>
      <w:r>
        <w:rPr>
          <w:rFonts w:ascii="Calibri" w:hAnsi="Calibri" w:eastAsia="Microsoft JhengHei"/>
          <w:b w:val="0"/>
          <w:i w:val="0"/>
          <w:sz w:val="22"/>
        </w:rPr>
        <w:t>□ 原始 100 Hz 串流全程記錄功能完成並驗證（Study C 的前提）</w:t>
      </w:r>
    </w:p>
    <w:p>
      <w:pPr>
        <w:pStyle w:val="ListBullet"/>
        <w:spacing w:after="60"/>
      </w:pPr>
      <w:r>
        <w:rPr>
          <w:rFonts w:ascii="Calibri" w:hAnsi="Calibri" w:eastAsia="Microsoft JhengHei"/>
          <w:b w:val="0"/>
          <w:i w:val="0"/>
          <w:sz w:val="22"/>
        </w:rPr>
        <w:t>□ 封包序號＋雙端時間戳＋每 phase 三連擊同步標記</w:t>
      </w:r>
    </w:p>
    <w:p>
      <w:pPr>
        <w:pStyle w:val="ListBullet"/>
        <w:spacing w:after="60"/>
      </w:pPr>
      <w:r>
        <w:rPr>
          <w:rFonts w:ascii="Calibri" w:hAnsi="Calibri" w:eastAsia="Microsoft JhengHei"/>
          <w:b w:val="0"/>
          <w:i w:val="0"/>
          <w:sz w:val="22"/>
        </w:rPr>
        <w:t>□ 動態校準模式、四鼓位設定凍結</w:t>
      </w:r>
    </w:p>
    <w:p>
      <w:pPr>
        <w:pStyle w:val="ListBullet"/>
        <w:spacing w:after="60"/>
      </w:pPr>
      <w:r>
        <w:rPr>
          <w:rFonts w:ascii="Calibri" w:hAnsi="Calibri" w:eastAsia="Microsoft JhengHei"/>
          <w:b w:val="0"/>
          <w:i w:val="0"/>
          <w:sz w:val="22"/>
        </w:rPr>
        <w:t>□ 端到端延遲量測流程彩排一次（慢動作攝影可清楚辨識擊底影格）</w:t>
      </w:r>
    </w:p>
    <w:p>
      <w:pPr>
        <w:pStyle w:val="ListBullet"/>
        <w:spacing w:after="60"/>
      </w:pPr>
      <w:r>
        <w:rPr>
          <w:rFonts w:ascii="Calibri" w:hAnsi="Calibri" w:eastAsia="Microsoft JhengHei"/>
          <w:b w:val="0"/>
          <w:i w:val="0"/>
          <w:sz w:val="22"/>
        </w:rPr>
        <w:t>□ 3 位受試者排程（間隔 ≥24 小時 × 3 場），同意書備妥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