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Encryption (Extra Credit) – AI vs. Experience</w:t>
      </w:r>
    </w:p>
    <w:p>
      <w:pPr>
        <w:spacing w:after="120"/>
      </w:pPr>
      <w:r>
        <w:rPr>
          <w:b/>
          <w:bCs/>
        </w:rPr>
        <w:t xml:space="preserve">Name:</w:t>
      </w:r>
      <w:r>
        <w:t xml:space="preserve"> Stepan Varganov</w:t>
      </w:r>
    </w:p>
    <w:p>
      <w:pPr>
        <w:spacing w:after="120"/>
      </w:pPr>
      <w:r>
        <w:rPr>
          <w:b/>
          <w:bCs/>
        </w:rPr>
        <w:t xml:space="preserve">Course:</w:t>
      </w:r>
      <w:r>
        <w:t xml:space="preserve"> IT102 – Scripting for Cybersecurity (Fall 2026)</w:t>
      </w:r>
    </w:p>
    <w:p>
      <w:pPr>
        <w:pBdr>
          <w:bottom w:val="single" w:color="1F3864" w:sz="8" w:space="6"/>
        </w:pBdr>
        <w:spacing w:after="240"/>
      </w:pPr>
      <w:r>
        <w:rPr>
          <w:b/>
          <w:bCs/>
        </w:rPr>
        <w:t xml:space="preserve">Date:</w:t>
      </w:r>
      <w:r>
        <w:t xml:space="preserve"> October 25, 2026</w:t>
      </w:r>
    </w:p>
    <w:p>
      <w:pPr>
        <w:spacing w:after="120"/>
      </w:pPr>
      <w:r>
        <w:rPr>
          <w:b/>
          <w:bCs/>
        </w:rPr>
        <w:t xml:space="preserve">AI tool used:</w:t>
      </w:r>
      <w:r>
        <w:t xml:space="preserve"> Claude (Anthropic). </w:t>
      </w:r>
      <w:r>
        <w:rPr>
          <w:b/>
          <w:bCs/>
        </w:rPr>
        <w:t xml:space="preserve">Scripts used for observations:</w:t>
      </w:r>
      <w:r>
        <w:t xml:space="preserve"> ASCIIgen.py, Rot13.py, CryptExample.py in </w:t>
      </w:r>
      <w:r>
        <w:rPr>
          <w:rFonts w:ascii="Consolas" w:cs="Consolas" w:eastAsia="Consolas" w:hAnsi="Consolas"/>
          <w:sz w:val="20"/>
          <w:szCs w:val="20"/>
        </w:rPr>
        <w:t xml:space="preserve">start/CH05</w:t>
      </w:r>
      <w:r>
        <w:t xml:space="preserve">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3600"/>
        <w:gridCol w:w="3600"/>
      </w:tblGrid>
      <w:tr>
        <w:trPr>
          <w:tblHeader/>
        </w:trPr>
        <w:tc>
          <w:tcPr>
            <w:tcW w:type="dxa" w:w="216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Python Syntax / Element</w:t>
            </w:r>
          </w:p>
        </w:tc>
        <w:tc>
          <w:tcPr>
            <w:tcW w:type="dxa" w:w="36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What AI Said It Does</w:t>
            </w:r>
          </w:p>
        </w:tc>
        <w:tc>
          <w:tcPr>
            <w:tcW w:type="dxa" w:w="36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What I Observed / Experienced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import statement</w:t>
            </w:r>
          </w:p>
        </w:tc>
        <w:tc>
          <w:tcPr>
            <w:tcW w:type="dxa" w:w="36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Loads code from another module or library so your script can use it.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import base64</w:t>
            </w:r>
            <w:r>
              <w:t xml:space="preserve"> loads the whole module.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from cryptography.fernet import Fernet</w:t>
            </w:r>
            <w:r>
              <w:t xml:space="preserve"> loads just the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Fernet</w:t>
            </w:r>
            <w:r>
              <w:t xml:space="preserve"> class so you can call it by its short name.</w:t>
            </w:r>
          </w:p>
        </w:tc>
        <w:tc>
          <w:tcPr>
            <w:tcW w:type="dxa" w:w="36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brings in code from a library. I used it to get Fernet from cryptography, but ord() and chr() didn't need it since they're built in.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ord()</w:t>
            </w:r>
          </w:p>
        </w:tc>
        <w:tc>
          <w:tcPr>
            <w:tcW w:type="dxa" w:w="36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Built-in function that takes one character and returns its Unicode/ASCII number, e.g.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ord('a')</w:t>
            </w:r>
            <w:r>
              <w:t xml:space="preserve"> →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97</w:t>
            </w:r>
            <w:r>
              <w:t xml:space="preserve">. Passing more than one character raises a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TypeError</w:t>
            </w:r>
            <w:r>
              <w:t xml:space="preserve">.</w:t>
            </w:r>
          </w:p>
        </w:tc>
        <w:tc>
          <w:tcPr>
            <w:tcW w:type="dxa" w:w="36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turns a letter into its number. ord('a') gave me 97, and all the lowercase letters were 97-122.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chr()</w:t>
            </w:r>
          </w:p>
        </w:tc>
        <w:tc>
          <w:tcPr>
            <w:tcW w:type="dxa" w:w="36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Built-in function that does the reverse of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ord()</w:t>
            </w:r>
            <w:r>
              <w:t xml:space="preserve">: takes an integer and returns the matching character, e.g.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chr(97)</w:t>
            </w:r>
            <w:r>
              <w:t xml:space="preserve"> →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'a'</w:t>
            </w:r>
            <w:r>
              <w:t xml:space="preserve">.</w:t>
            </w:r>
          </w:p>
        </w:tc>
        <w:tc>
          <w:tcPr>
            <w:tcW w:type="dxa" w:w="36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turns a number back into a letter. the first 32 numbers printed blank or weird stuff because they're control characters.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String iteration (for char in text)</w:t>
            </w:r>
          </w:p>
        </w:tc>
        <w:tc>
          <w:tcPr>
            <w:tcW w:type="dxa" w:w="36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for</w:t>
            </w:r>
            <w:r>
              <w:t xml:space="preserve"> loop over a string visits each character in order, one per loop pass, including spaces and punctuation.</w:t>
            </w:r>
          </w:p>
        </w:tc>
        <w:tc>
          <w:tcPr>
            <w:tcW w:type="dxa" w:w="36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goes through the message one letter at a time. the spaces and ! went through it too but didn't get changed.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.encode()</w:t>
            </w:r>
          </w:p>
        </w:tc>
        <w:tc>
          <w:tcPr>
            <w:tcW w:type="dxa" w:w="36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String method that converts a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str</w:t>
            </w:r>
            <w:r>
              <w:t xml:space="preserve"> into a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bytes</w:t>
            </w:r>
            <w:r>
              <w:t xml:space="preserve"> object (UTF-8 by default). It's needed because many libraries, encryption included, work on bytes.</w:t>
            </w:r>
          </w:p>
        </w:tc>
        <w:tc>
          <w:tcPr>
            <w:tcW w:type="dxa" w:w="36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turns a string into bytes. Fernet wouldn't take the message or the key without it.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.decode()</w:t>
            </w:r>
          </w:p>
        </w:tc>
        <w:tc>
          <w:tcPr>
            <w:tcW w:type="dxa" w:w="36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Bytes method that converts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bytes</w:t>
            </w:r>
            <w:r>
              <w:t xml:space="preserve"> back into a readable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str</w:t>
            </w:r>
            <w:r>
              <w:t xml:space="preserve">. It is the reverse of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.encode()</w:t>
            </w:r>
            <w:r>
              <w:t xml:space="preserve">.</w:t>
            </w:r>
          </w:p>
        </w:tc>
        <w:tc>
          <w:tcPr>
            <w:tcW w:type="dxa" w:w="36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turns bytes back into a string so it prints normal, without the b' in front.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Variable assignment (e.g., cipher_text = ...)</w:t>
            </w:r>
          </w:p>
        </w:tc>
        <w:tc>
          <w:tcPr>
            <w:tcW w:type="dxa" w:w="36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Uses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=</w:t>
            </w:r>
            <w:r>
              <w:t xml:space="preserve"> to store a value under a name. The right side is evaluated first, then the result is bound to the name on the left. Reassigning replaces the old value.</w:t>
            </w:r>
          </w:p>
        </w:tc>
        <w:tc>
          <w:tcPr>
            <w:tcW w:type="dxa" w:w="36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stores a value in a name. final_message got added to every time the loop ran.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Function call on an object (e.g., cipher.encrypt())</w:t>
            </w:r>
          </w:p>
        </w:tc>
        <w:tc>
          <w:tcPr>
            <w:tcW w:type="dxa" w:w="36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Calls a method, a function that belongs to an object, using dot notation. The method can use the data stored inside the object.</w:t>
            </w:r>
          </w:p>
        </w:tc>
        <w:tc>
          <w:tcPr>
            <w:tcW w:type="dxa" w:w="36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Fernet(key) makes the object and .encrypt() uses the key inside it. encrypting the same message twice gave me 2 different results.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External library usage (Fernet)</w:t>
            </w:r>
          </w:p>
        </w:tc>
        <w:tc>
          <w:tcPr>
            <w:tcW w:type="dxa" w:w="36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Using third-party code installed with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pip3</w:t>
            </w:r>
            <w:r>
              <w:t xml:space="preserve"> (from PyPI) instead of writing it yourself. Fernet gives you authenticated symmetric encryption (AES-128 + HMAC-SHA256) behind a few simple calls.</w:t>
            </w:r>
          </w:p>
        </w:tc>
        <w:tc>
          <w:tcPr>
            <w:tcW w:type="dxa" w:w="36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did all the hard encryption for me in a few lines. using the wrong key just gave me an InvalidToken error.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76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  <w:style w:type="paragraph" w:styleId="Title">
    <w:name w:val="Title"/>
    <w:basedOn w:val="Normal"/>
    <w:pPr>
      <w:spacing w:after="60"/>
    </w:pPr>
    <w:rPr>
      <w:b/>
      <w:bCs/>
      <w:color w:val="1F3864"/>
      <w:sz w:val="36"/>
      <w:szCs w:val="36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b/>
      <w:bCs/>
      <w:color w:val="1F3864"/>
      <w:sz w:val="28"/>
      <w:szCs w:val="28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Stepan Varganov</dc:creator>
  <cp:lastModifiedBy>Un-named</cp:lastModifiedBy>
  <cp:revision>1</cp:revision>
  <dcterms:created xsi:type="dcterms:W3CDTF">2026-10-26T02:22:28.974Z</dcterms:created>
  <dcterms:modified xsi:type="dcterms:W3CDTF">2026-10-26T02:22:28.974Z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