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AE7D" w14:textId="38E30D6D" w:rsidR="002A3E15" w:rsidRDefault="007238F7">
      <w:r>
        <w:rPr>
          <w:rFonts w:hint="eastAsia"/>
        </w:rPr>
        <w:t>非空有上界的数集必有上确界，非空有下届的数集必有下确界。</w:t>
      </w:r>
    </w:p>
    <w:p w14:paraId="7986EB0E" w14:textId="098C3710" w:rsidR="007238F7" w:rsidRDefault="007238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291CC1" wp14:editId="0A2AA9ED">
            <wp:extent cx="5274310" cy="3956050"/>
            <wp:effectExtent l="0" t="762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D0"/>
    <w:rsid w:val="002A3E15"/>
    <w:rsid w:val="007238F7"/>
    <w:rsid w:val="0085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6A9A"/>
  <w15:chartTrackingRefBased/>
  <w15:docId w15:val="{AC5497DE-1B8E-4525-9BDA-047EF6EA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2</cp:revision>
  <dcterms:created xsi:type="dcterms:W3CDTF">2021-09-22T06:43:00Z</dcterms:created>
  <dcterms:modified xsi:type="dcterms:W3CDTF">2021-09-22T06:47:00Z</dcterms:modified>
</cp:coreProperties>
</file>