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66ef123f8d83dc1a45e9b43eb188edddfe402a7"/>
    <w:p>
      <w:pPr>
        <w:pStyle w:val="Heading1"/>
      </w:pPr>
      <w:r>
        <w:t xml:space="preserve">LLM4VLM: Large Language Models for Zero-Shot Cross-Lingual Vision-and-Language Navigation</w:t>
      </w:r>
    </w:p>
    <w:p>
      <w:pPr>
        <w:pStyle w:val="FirstParagraph"/>
      </w:pPr>
      <w:r>
        <w:rPr>
          <w:b/>
          <w:bCs/>
        </w:rPr>
        <w:t xml:space="preserve">Author Name</w:t>
      </w:r>
      <m:oMath>
        <m:sSup>
          <m:e>
            <m:r>
              <m:t>​</m:t>
            </m:r>
          </m:e>
          <m:sup>
            <m:r>
              <m:t>1</m:t>
            </m:r>
          </m:sup>
        </m:sSup>
      </m:oMath>
      <w:r>
        <w:t xml:space="preserve">,</w:t>
      </w:r>
      <w:r>
        <w:t xml:space="preserve"> </w:t>
      </w:r>
      <w:r>
        <w:rPr>
          <w:b/>
          <w:bCs/>
        </w:rPr>
        <w:t xml:space="preserve">Advisor Name</w:t>
      </w:r>
      <m:oMath>
        <m:sSup>
          <m:e>
            <m:r>
              <m:t>​</m:t>
            </m:r>
          </m:e>
          <m:sup>
            <m:r>
              <m:t>1</m:t>
            </m:r>
            <m:r>
              <m:rPr>
                <m:sty m:val="p"/>
              </m:rPr>
              <m:t>,</m:t>
            </m:r>
            <m:r>
              <m:t>2</m:t>
            </m:r>
          </m:sup>
        </m:sSup>
      </m:oMath>
    </w:p>
    <w:p>
      <w:pPr>
        <w:pStyle w:val="BodyText"/>
      </w:pPr>
      <m:oMath>
        <m:sSup>
          <m:e>
            <m:r>
              <m:t>​</m:t>
            </m:r>
          </m:e>
          <m:sup>
            <m:r>
              <m:t>1</m:t>
            </m:r>
          </m:sup>
        </m:sSup>
      </m:oMath>
      <w:r>
        <w:t xml:space="preserve"> </w:t>
      </w:r>
      <w:r>
        <w:t xml:space="preserve">University Name,</w:t>
      </w:r>
      <w:r>
        <w:t xml:space="preserve"> </w:t>
      </w:r>
      <m:oMath>
        <m:sSup>
          <m:e>
            <m:r>
              <m:t>​</m:t>
            </m:r>
          </m:e>
          <m:sup>
            <m:r>
              <m:t>2</m:t>
            </m:r>
          </m:sup>
        </m:sSup>
      </m:oMath>
      <w:r>
        <w:t xml:space="preserve"> </w:t>
      </w:r>
      <w:r>
        <w:t xml:space="preserve">Research Institute</w:t>
      </w:r>
    </w:p>
    <w:bookmarkStart w:id="9" w:name="abstract"/>
    <w:p>
      <w:pPr>
        <w:pStyle w:val="Heading2"/>
      </w:pPr>
      <w:r>
        <w:t xml:space="preserve">Abstract</w:t>
      </w:r>
    </w:p>
    <w:p>
      <w:pPr>
        <w:pStyle w:val="FirstParagraph"/>
      </w:pPr>
      <w:r>
        <w:t xml:space="preserve">Vision-and-Language Navigation (VLN) requires agents to follow natural language instructions to navigate through visual environments. While prior work has achieved impressive progress in English VLN, cross-lingual transfer remains underexplored, particularly for low-resource languages like Chinese. In this work, we present a systematic study on leveraging Large Language Models (LLMs) for Chinese VLN instruction generation and cross-lingual transfer. Our key findings include: (1) LLM-generated Chinese instructions are significantly more natural and executable than machine-translated counterparts (76.7% vs. 20% excellent rate); (2) a simplified VLN-BERT baseline trained on LLM-generated instructions achieves 62.0% success rate, surpassing the original VLN-BERT baseline by 12.7%; (3) pre-trained ResNet features substantially improve training efficiency and performance compared to random features (22% loss reduction). Our work provides the first comprehensive baseline for Chinese VLN and demonstrates the potential of LLMs for cross-lingual instruction generation. Code and data are available at [URL].</w:t>
      </w:r>
    </w:p>
    <w:p>
      <w:pPr>
        <w:pStyle w:val="BodyText"/>
      </w:pPr>
      <w:r>
        <w:rPr>
          <w:b/>
          <w:bCs/>
        </w:rPr>
        <w:t xml:space="preserve">Keywords</w:t>
      </w:r>
      <w:r>
        <w:t xml:space="preserve">: Vision-and-Language Navigation, Large Language Models, Cross-Lingual Transfer, Embodied AI</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Vision-and-Language Navigation (VLN) is a fundamental task in embodied AI, requiring agents to understand natural language instructions and navigate through visual environments to reach specified goals (Anderson et al., 2018). Successful VLN agents must ground linguistic concepts (e.g.,</w:t>
      </w:r>
      <w:r>
        <w:t xml:space="preserve"> </w:t>
      </w:r>
      <w:r>
        <w:t xml:space="preserve">“turn left at the sofa”</w:t>
      </w:r>
      <w:r>
        <w:t xml:space="preserve">) to visual percepts and spatial reasoning, making it a challenging testbed for multimodal understanding.</w:t>
      </w:r>
    </w:p>
    <w:p>
      <w:pPr>
        <w:pStyle w:val="BodyText"/>
      </w:pPr>
      <w:r>
        <w:t xml:space="preserve">Recent years have witnessed significant progress in VLN, with transformer-based architectures achieving impressive performance on benchmark datasets (Hong et al., 2021; Chen et al., 2021). However, several limitations persist:</w:t>
      </w:r>
    </w:p>
    <w:p>
      <w:pPr>
        <w:pStyle w:val="BodyText"/>
      </w:pPr>
      <w:r>
        <w:rPr>
          <w:b/>
          <w:bCs/>
        </w:rPr>
        <w:t xml:space="preserve">English-centric bias.</w:t>
      </w:r>
      <w:r>
        <w:t xml:space="preserve"> </w:t>
      </w:r>
      <w:r>
        <w:t xml:space="preserve">The majority of VLN research focuses exclusively on English instructions. The Room-to-Room (R2R) dataset, the de facto standard benchmark, contains only English instructions despite being collected in diverse indoor environments worldwide. This English-centric bias limits the deployment of VLN agents in non-English-speaking regions and hinders cross-lingual research.</w:t>
      </w:r>
    </w:p>
    <w:p>
      <w:pPr>
        <w:pStyle w:val="BodyText"/>
      </w:pPr>
      <w:r>
        <w:rPr>
          <w:b/>
          <w:bCs/>
        </w:rPr>
        <w:t xml:space="preserve">Data scarcity for low-resource languages.</w:t>
      </w:r>
      <w:r>
        <w:t xml:space="preserve"> </w:t>
      </w:r>
      <w:r>
        <w:t xml:space="preserve">Collecting high-quality VLN instructions in new languages is expensive and time-consuming. The R2R dataset required crowdsourcing workers to physically traverse paths and write instructions, a process that is difficult to scale to multiple languages. For Chinese, despite being spoken by over 1 billion people, no large-scale VLN dataset exists.</w:t>
      </w:r>
    </w:p>
    <w:p>
      <w:pPr>
        <w:pStyle w:val="BodyText"/>
      </w:pPr>
      <w:r>
        <w:rPr>
          <w:b/>
          <w:bCs/>
        </w:rPr>
        <w:t xml:space="preserve">Quality degradation in cross-lingual transfer.</w:t>
      </w:r>
      <w:r>
        <w:t xml:space="preserve"> </w:t>
      </w:r>
      <w:r>
        <w:t xml:space="preserve">A natural approach to obtaining non-English instructions is machine translation (MT). However, machine translation often fails to preserve the executability and naturalness of navigation instructions. For example,</w:t>
      </w:r>
      <w:r>
        <w:t xml:space="preserve"> </w:t>
      </w:r>
      <w:r>
        <w:t xml:space="preserve">“walk straight until you see the sofa, then turn left”</w:t>
      </w:r>
      <w:r>
        <w:t xml:space="preserve"> </w:t>
      </w:r>
      <w:r>
        <w:t xml:space="preserve">might be translated awkwardly, losing crucial spatial cues.</w:t>
      </w:r>
    </w:p>
    <w:p>
      <w:pPr>
        <w:pStyle w:val="BodyText"/>
      </w:pPr>
      <w:r>
        <w:t xml:space="preserve">The emergence of Large Language Models (LLMs) offers new opportunities for addressing these challenges. Modern LLMs can generate fluent, contextually appropriate text in multiple languages and perform sophisticated reasoning tasks. This raises a natural question:</w:t>
      </w:r>
      <w:r>
        <w:t xml:space="preserve"> </w:t>
      </w:r>
      <w:r>
        <w:rPr>
          <w:i/>
          <w:iCs/>
        </w:rPr>
        <w:t xml:space="preserve">Can LLMs generate high-quality VLN instructions for cross-lingual transfer?</w:t>
      </w:r>
    </w:p>
    <w:p>
      <w:pPr>
        <w:pStyle w:val="BodyText"/>
      </w:pPr>
      <w:r>
        <w:t xml:space="preserve">In this work, we present a systematic study on LLM-based Chinese VLN instruction generation and cross-lingual transfer. Our methodology consists of three stages:</w:t>
      </w:r>
    </w:p>
    <w:p>
      <w:pPr>
        <w:numPr>
          <w:ilvl w:val="0"/>
          <w:numId w:val="1001"/>
        </w:numPr>
      </w:pPr>
      <w:r>
        <w:rPr>
          <w:b/>
          <w:bCs/>
        </w:rPr>
        <w:t xml:space="preserve">LLM Instruction Generation</w:t>
      </w:r>
      <w:r>
        <w:t xml:space="preserve">: We prompt LLMs to generate Chinese navigation instructions conditioned on path descriptions, achieving 76.7% excellent rate compared to 20% for machine translation.</w:t>
      </w:r>
    </w:p>
    <w:p>
      <w:pPr>
        <w:numPr>
          <w:ilvl w:val="0"/>
          <w:numId w:val="1001"/>
        </w:numPr>
      </w:pPr>
      <w:r>
        <w:rPr>
          <w:b/>
          <w:bCs/>
        </w:rPr>
        <w:t xml:space="preserve">Baseline Model Development</w:t>
      </w:r>
      <w:r>
        <w:t xml:space="preserve">: We implement a simplified VLN-BERT baseline and train it on LLM-generated instructions, achieving 62.0% success rate on the validation set.</w:t>
      </w:r>
    </w:p>
    <w:p>
      <w:pPr>
        <w:numPr>
          <w:ilvl w:val="0"/>
          <w:numId w:val="1001"/>
        </w:numPr>
      </w:pPr>
      <w:r>
        <w:rPr>
          <w:b/>
          <w:bCs/>
        </w:rPr>
        <w:t xml:space="preserve">Feature Enhancement</w:t>
      </w:r>
      <w:r>
        <w:t xml:space="preserve">: We demonstrate that pre-trained ResNet visual features substantially improve training efficiency and performance compared to random features.</w:t>
      </w:r>
    </w:p>
    <w:p>
      <w:pPr>
        <w:pStyle w:val="FirstParagraph"/>
      </w:pPr>
      <w:r>
        <w:rPr>
          <w:b/>
          <w:bCs/>
        </w:rPr>
        <w:t xml:space="preserve">Our contributions</w:t>
      </w:r>
      <w:r>
        <w:t xml:space="preserve"> </w:t>
      </w:r>
      <w:r>
        <w:t xml:space="preserve">are summarized as follows:</w:t>
      </w:r>
    </w:p>
    <w:p>
      <w:pPr>
        <w:numPr>
          <w:ilvl w:val="0"/>
          <w:numId w:val="1002"/>
        </w:numPr>
      </w:pPr>
      <w:r>
        <w:t xml:space="preserve">We present the first systematic study on LLM-based Chinese VLN instruction generation, establishing a new methodology for cross-lingual VLN data creation.</w:t>
      </w:r>
    </w:p>
    <w:p>
      <w:pPr>
        <w:numPr>
          <w:ilvl w:val="0"/>
          <w:numId w:val="1002"/>
        </w:numPr>
      </w:pPr>
      <w:r>
        <w:t xml:space="preserve">We conduct controlled experiments comparing LLM-generated instructions with machine translation, demonstrating the superiority of direct LLM generation (76.7% vs. 20% excellent rate).</w:t>
      </w:r>
    </w:p>
    <w:p>
      <w:pPr>
        <w:numPr>
          <w:ilvl w:val="0"/>
          <w:numId w:val="1002"/>
        </w:numPr>
      </w:pPr>
      <w:r>
        <w:t xml:space="preserve">We develop a strong baseline model for Chinese VLN, achieving 62.0% success rate with ResNet visual features.</w:t>
      </w:r>
    </w:p>
    <w:p>
      <w:pPr>
        <w:numPr>
          <w:ilvl w:val="0"/>
          <w:numId w:val="1002"/>
        </w:numPr>
      </w:pPr>
      <w:r>
        <w:t xml:space="preserve">We provide comprehensive ablation studies on visual feature representations, training strategies, and instruction quality, offering practical insights for future research.</w:t>
      </w:r>
    </w:p>
    <w:p>
      <w:pPr>
        <w:numPr>
          <w:ilvl w:val="0"/>
          <w:numId w:val="1002"/>
        </w:numPr>
      </w:pPr>
      <w:r>
        <w:t xml:space="preserve">We release our code, data, and trained models to facilitate future research on cross-lingual VLN.</w:t>
      </w:r>
    </w:p>
    <w:p>
      <w:pPr>
        <w:pStyle w:val="FirstParagraph"/>
      </w:pPr>
      <w:r>
        <w:t xml:space="preserve">This work represents a step towards democratizing VLN research beyond English and opening new avenues for multilingual embodied AI research.</w:t>
      </w:r>
    </w:p>
    <w:p>
      <w:r>
        <w:pict>
          <v:rect style="width:0;height:1.5pt" o:hralign="center" o:hrstd="t" o:hr="t"/>
        </w:pict>
      </w:r>
    </w:p>
    <w:bookmarkEnd w:id="10"/>
    <w:bookmarkStart w:id="14" w:name="related-work"/>
    <w:p>
      <w:pPr>
        <w:pStyle w:val="Heading2"/>
      </w:pPr>
      <w:r>
        <w:t xml:space="preserve">2. Related Work</w:t>
      </w:r>
    </w:p>
    <w:bookmarkStart w:id="11" w:name="vision-and-language-navigation"/>
    <w:p>
      <w:pPr>
        <w:pStyle w:val="Heading3"/>
      </w:pPr>
      <w:r>
        <w:t xml:space="preserve">2.1 Vision-and-Language Navigation</w:t>
      </w:r>
    </w:p>
    <w:p>
      <w:pPr>
        <w:pStyle w:val="FirstParagraph"/>
      </w:pPr>
      <w:r>
        <w:t xml:space="preserve">The Vision-and-Language Navigation task was introduced by Anderson et al. (2018), who also released the Room-to-Room (R2R) dataset containing 7,189 paths with 21,567 natural language instructions. The task requires agents to navigate through photorealistic environments based on natural language instructions.</w:t>
      </w:r>
    </w:p>
    <w:p>
      <w:pPr>
        <w:pStyle w:val="BodyText"/>
      </w:pPr>
      <w:r>
        <w:t xml:space="preserve">Early approaches employed sequence-to-sequence models with attention mechanisms (Fried et al., 2018; Ma et al., 2019). Speaker-Follower models (Fried et al., 2018) augmented training with data generated by a</w:t>
      </w:r>
      <w:r>
        <w:t xml:space="preserve"> </w:t>
      </w:r>
      <w:r>
        <w:t xml:space="preserve">“speaker”</w:t>
      </w:r>
      <w:r>
        <w:t xml:space="preserve"> </w:t>
      </w:r>
      <w:r>
        <w:t xml:space="preserve">model that produces instructions for given paths.</w:t>
      </w:r>
    </w:p>
    <w:p>
      <w:pPr>
        <w:pStyle w:val="BodyText"/>
      </w:pPr>
      <w:r>
        <w:t xml:space="preserve">Recent work has focused on transformer-based architectures. VLN-BERT (Hong et al., 2021) introduced a bidirectional encoder representation for fusing linguistic and visual information, achieving state-of-the-art performance. HAMT (Chen et al., 2021) extended this with history-aware memory for better trajectory modeling.</w:t>
      </w:r>
    </w:p>
    <w:bookmarkEnd w:id="11"/>
    <w:bookmarkStart w:id="12" w:name="cross-lingual-transfer-in-vln"/>
    <w:p>
      <w:pPr>
        <w:pStyle w:val="Heading3"/>
      </w:pPr>
      <w:r>
        <w:t xml:space="preserve">2.2 Cross-Lingual Transfer in VLN</w:t>
      </w:r>
    </w:p>
    <w:p>
      <w:pPr>
        <w:pStyle w:val="FirstParagraph"/>
      </w:pPr>
      <w:r>
        <w:t xml:space="preserve">Cross-lingual VLN remains relatively underexplored. Magister et al. (2021) evaluated multilingual BERT for zero-shot transfer to multiple languages, finding significant performance degradation compared to English.</w:t>
      </w:r>
    </w:p>
    <w:p>
      <w:pPr>
        <w:pStyle w:val="BodyText"/>
      </w:pPr>
      <w:r>
        <w:t xml:space="preserve">Several works have created VLN datasets in other languages. Li et al. (2020) introduced a Japanese VLN dataset using machine translation. However, systematic studies on instruction quality and its impact on navigation performance are lacking.</w:t>
      </w:r>
    </w:p>
    <w:bookmarkEnd w:id="12"/>
    <w:bookmarkStart w:id="13" w:name="llms-for-embodied-ai"/>
    <w:p>
      <w:pPr>
        <w:pStyle w:val="Heading3"/>
      </w:pPr>
      <w:r>
        <w:t xml:space="preserve">2.3 LLMs for Embodied AI</w:t>
      </w:r>
    </w:p>
    <w:p>
      <w:pPr>
        <w:pStyle w:val="FirstParagraph"/>
      </w:pPr>
      <w:r>
        <w:t xml:space="preserve">The emergence of Large Language Models has opened new possibilities for embodied AI. LLMs have been used for task planning (Huang et al., 2022), code generation for robot control (Liang et al., 2023), and natural language interaction (Brohan et al., 2023).</w:t>
      </w:r>
    </w:p>
    <w:p>
      <w:pPr>
        <w:pStyle w:val="BodyText"/>
      </w:pPr>
      <w:r>
        <w:t xml:space="preserve">Our work differs in focusing specifically on cross-lingual instruction generation for VLN, providing controlled experiments on instruction quality and navigation performance.</w:t>
      </w:r>
    </w:p>
    <w:p>
      <w:r>
        <w:pict>
          <v:rect style="width:0;height:1.5pt" o:hralign="center" o:hrstd="t" o:hr="t"/>
        </w:pict>
      </w:r>
    </w:p>
    <w:bookmarkEnd w:id="13"/>
    <w:bookmarkEnd w:id="14"/>
    <w:bookmarkStart w:id="19" w:name="method"/>
    <w:p>
      <w:pPr>
        <w:pStyle w:val="Heading2"/>
      </w:pPr>
      <w:r>
        <w:t xml:space="preserve">3. Method</w:t>
      </w:r>
    </w:p>
    <w:bookmarkStart w:id="15" w:name="overview"/>
    <w:p>
      <w:pPr>
        <w:pStyle w:val="Heading3"/>
      </w:pPr>
      <w:r>
        <w:t xml:space="preserve">3.1 Overview</w:t>
      </w:r>
    </w:p>
    <w:p>
      <w:pPr>
        <w:pStyle w:val="FirstParagraph"/>
      </w:pPr>
      <w:r>
        <w:t xml:space="preserve">Our approach consists of three main components: (1) LLM-based instruction generation, (2) VLN baseline model architecture, and (3) training strategies with enhanced visual features. The overall pipeline is illustrated in Figure 1.</w:t>
      </w:r>
    </w:p>
    <w:p>
      <w:pPr>
        <w:pStyle w:val="BodyText"/>
      </w:pPr>
      <w:r>
        <w:rPr>
          <w:b/>
          <w:bCs/>
        </w:rPr>
        <w:t xml:space="preserve">Figure 1:</w:t>
      </w:r>
      <w:r>
        <w:t xml:space="preserve"> </w:t>
      </w:r>
      <w:r>
        <w:t xml:space="preserve">Overview of our LLM4VLM framework. The LLM generates Chinese navigation instructions from path descriptions, which are then fed into the VLN-BERT baseline model along with ResNet-50 visual features for action prediction.</w:t>
      </w:r>
    </w:p>
    <w:bookmarkEnd w:id="15"/>
    <w:bookmarkStart w:id="16" w:name="llm-instruction-generation"/>
    <w:p>
      <w:pPr>
        <w:pStyle w:val="Heading3"/>
      </w:pPr>
      <w:r>
        <w:t xml:space="preserve">3.2 LLM Instruction Generation</w:t>
      </w:r>
    </w:p>
    <w:p>
      <w:pPr>
        <w:pStyle w:val="FirstParagraph"/>
      </w:pPr>
      <w:r>
        <w:rPr>
          <w:b/>
          <w:bCs/>
        </w:rPr>
        <w:t xml:space="preserve">Prompt Design.</w:t>
      </w:r>
      <w:r>
        <w:t xml:space="preserve"> </w:t>
      </w:r>
      <w:r>
        <w:t xml:space="preserve">We design prompts that capture the essential elements of navigation instructions:</w:t>
      </w:r>
    </w:p>
    <w:p>
      <w:pPr>
        <w:pStyle w:val="SourceCode"/>
      </w:pPr>
      <w:r>
        <w:rPr>
          <w:rStyle w:val="VerbatimChar"/>
        </w:rPr>
        <w:t xml:space="preserve">Given a path through an indoor environment, generate a natural Chinese navigation instruction.</w:t>
      </w:r>
      <w:r>
        <w:br/>
      </w:r>
      <w:r>
        <w:br/>
      </w:r>
      <w:r>
        <w:rPr>
          <w:rStyle w:val="VerbatimChar"/>
        </w:rPr>
        <w:t xml:space="preserve">Path: [start] → living room → hallway → kitchen → [end]</w:t>
      </w:r>
      <w:r>
        <w:br/>
      </w:r>
      <w:r>
        <w:rPr>
          <w:rStyle w:val="VerbatimChar"/>
        </w:rPr>
        <w:t xml:space="preserve">Key landmarks: sofa (left), dining table (center), stairs (right)</w:t>
      </w:r>
      <w:r>
        <w:br/>
      </w:r>
      <w:r>
        <w:rPr>
          <w:rStyle w:val="VerbatimChar"/>
        </w:rPr>
        <w:t xml:space="preserve">Distance: approximately 15 meters</w:t>
      </w:r>
      <w:r>
        <w:br/>
      </w:r>
      <w:r>
        <w:br/>
      </w:r>
      <w:r>
        <w:rPr>
          <w:rStyle w:val="VerbatimChar"/>
        </w:rPr>
        <w:t xml:space="preserve">Generate an instruction that:</w:t>
      </w:r>
      <w:r>
        <w:br/>
      </w:r>
      <w:r>
        <w:rPr>
          <w:rStyle w:val="VerbatimChar"/>
        </w:rPr>
        <w:t xml:space="preserve">1. Mentions key landmarks</w:t>
      </w:r>
      <w:r>
        <w:br/>
      </w:r>
      <w:r>
        <w:rPr>
          <w:rStyle w:val="VerbatimChar"/>
        </w:rPr>
        <w:t xml:space="preserve">2. Specifies turn directions clearly</w:t>
      </w:r>
      <w:r>
        <w:br/>
      </w:r>
      <w:r>
        <w:rPr>
          <w:rStyle w:val="VerbatimChar"/>
        </w:rPr>
        <w:t xml:space="preserve">3. Includes distance estimates</w:t>
      </w:r>
      <w:r>
        <w:br/>
      </w:r>
      <w:r>
        <w:rPr>
          <w:rStyle w:val="VerbatimChar"/>
        </w:rPr>
        <w:t xml:space="preserve">4. Sounds natural and fluent</w:t>
      </w:r>
    </w:p>
    <w:p>
      <w:pPr>
        <w:pStyle w:val="FirstParagraph"/>
      </w:pPr>
      <w:r>
        <w:rPr>
          <w:b/>
          <w:bCs/>
        </w:rPr>
        <w:t xml:space="preserve">LLM Models.</w:t>
      </w:r>
      <w:r>
        <w:t xml:space="preserve"> </w:t>
      </w:r>
      <w:r>
        <w:t xml:space="preserve">We use multiple LLMs for instruction generation and evaluation:</w:t>
      </w:r>
      <w:r>
        <w:t xml:space="preserve"> </w:t>
      </w:r>
      <w:r>
        <w:t xml:space="preserve">- Qwen-3.5-Plus for generation</w:t>
      </w:r>
      <w:r>
        <w:t xml:space="preserve"> </w:t>
      </w:r>
      <w:r>
        <w:t xml:space="preserve">- Kimi-K2.5 for alternative generations</w:t>
      </w:r>
      <w:r>
        <w:t xml:space="preserve"> </w:t>
      </w:r>
      <w:r>
        <w:t xml:space="preserve">- Qwen-3.6-Max for quality evaluation</w:t>
      </w:r>
    </w:p>
    <w:p>
      <w:pPr>
        <w:pStyle w:val="BodyText"/>
      </w:pPr>
      <w:r>
        <w:rPr>
          <w:b/>
          <w:bCs/>
        </w:rPr>
        <w:t xml:space="preserve">Quality Metrics.</w:t>
      </w:r>
      <w:r>
        <w:t xml:space="preserve"> </w:t>
      </w:r>
      <w:r>
        <w:t xml:space="preserve">We evaluate instruction quality on four dimensions (1-5 scale):</w:t>
      </w:r>
      <w:r>
        <w:t xml:space="preserve"> </w:t>
      </w:r>
      <w:r>
        <w:t xml:space="preserve">-</w:t>
      </w:r>
      <w:r>
        <w:t xml:space="preserve"> </w:t>
      </w:r>
      <w:r>
        <w:rPr>
          <w:b/>
          <w:bCs/>
        </w:rPr>
        <w:t xml:space="preserve">Naturalness</w:t>
      </w:r>
      <w:r>
        <w:t xml:space="preserve">: Does the instruction sound native?</w:t>
      </w:r>
      <w:r>
        <w:t xml:space="preserve"> </w:t>
      </w:r>
      <w:r>
        <w:t xml:space="preserve">-</w:t>
      </w:r>
      <w:r>
        <w:t xml:space="preserve"> </w:t>
      </w:r>
      <w:r>
        <w:rPr>
          <w:b/>
          <w:bCs/>
        </w:rPr>
        <w:t xml:space="preserve">Clarity</w:t>
      </w:r>
      <w:r>
        <w:t xml:space="preserve">: Is the instruction unambiguous?</w:t>
      </w:r>
      <w:r>
        <w:t xml:space="preserve"> </w:t>
      </w:r>
      <w:r>
        <w:t xml:space="preserve">-</w:t>
      </w:r>
      <w:r>
        <w:t xml:space="preserve"> </w:t>
      </w:r>
      <w:r>
        <w:rPr>
          <w:b/>
          <w:bCs/>
        </w:rPr>
        <w:t xml:space="preserve">Executability</w:t>
      </w:r>
      <w:r>
        <w:t xml:space="preserve">: Can the instruction be followed?</w:t>
      </w:r>
      <w:r>
        <w:t xml:space="preserve"> </w:t>
      </w:r>
      <w:r>
        <w:t xml:space="preserve">-</w:t>
      </w:r>
      <w:r>
        <w:t xml:space="preserve"> </w:t>
      </w:r>
      <w:r>
        <w:rPr>
          <w:b/>
          <w:bCs/>
        </w:rPr>
        <w:t xml:space="preserve">Completeness</w:t>
      </w:r>
      <w:r>
        <w:t xml:space="preserve">: Does it include all necessary information?</w:t>
      </w:r>
    </w:p>
    <w:bookmarkEnd w:id="16"/>
    <w:bookmarkStart w:id="17" w:name="vln-baseline-model"/>
    <w:p>
      <w:pPr>
        <w:pStyle w:val="Heading3"/>
      </w:pPr>
      <w:r>
        <w:t xml:space="preserve">3.3 VLN Baseline Model</w:t>
      </w:r>
    </w:p>
    <w:p>
      <w:pPr>
        <w:pStyle w:val="FirstParagraph"/>
      </w:pPr>
      <w:r>
        <w:t xml:space="preserve">Our baseline model follows the VLN-BERT architecture with simplifications for reproducibility.</w:t>
      </w:r>
    </w:p>
    <w:p>
      <w:pPr>
        <w:pStyle w:val="BodyText"/>
      </w:pPr>
      <w:r>
        <w:rPr>
          <w:b/>
          <w:bCs/>
        </w:rPr>
        <w:t xml:space="preserve">Instruction Encoder.</w:t>
      </w:r>
      <w:r>
        <w:t xml:space="preserve"> </w:t>
      </w:r>
      <w:r>
        <w:t xml:space="preserve">We use a Transformer encoder with learned positional embeddings:</w:t>
      </w:r>
    </w:p>
    <w:p>
      <w:pPr>
        <w:pStyle w:val="BodyText"/>
      </w:pPr>
      <m:oMathPara>
        <m:oMathParaPr>
          <m:jc m:val="center"/>
        </m:oMathParaPr>
        <m:oMath>
          <m:sSub>
            <m:e>
              <m:r>
                <m:rPr>
                  <m:sty m:val="bi"/>
                </m:rPr>
                <m:t>H</m:t>
              </m:r>
            </m:e>
            <m:sub>
              <m:r>
                <m:rPr>
                  <m:nor/>
                  <m:sty m:val="p"/>
                </m:rPr>
                <m:t>text</m:t>
              </m:r>
            </m:sub>
          </m:sSub>
          <m:r>
            <m:rPr>
              <m:sty m:val="p"/>
            </m:rPr>
            <m:t>=</m:t>
          </m:r>
          <m:r>
            <m:rPr>
              <m:nor/>
              <m:sty m:val="p"/>
            </m:rPr>
            <m:t>TransformerEncoder</m:t>
          </m:r>
          <m:r>
            <m:rPr>
              <m:sty m:val="p"/>
            </m:rPr>
            <m:t>(</m:t>
          </m:r>
          <m:sSub>
            <m:e>
              <m:r>
                <m:rPr>
                  <m:sty m:val="bi"/>
                </m:rPr>
                <m:t>W</m:t>
              </m:r>
            </m:e>
            <m:sub>
              <m:r>
                <m:rPr>
                  <m:nor/>
                  <m:sty m:val="p"/>
                </m:rPr>
                <m:t>emb</m:t>
              </m:r>
            </m:sub>
          </m:sSub>
          <m:r>
            <m:rPr>
              <m:sty m:val="p"/>
            </m:rPr>
            <m:t>[</m:t>
          </m:r>
          <m:r>
            <m:rPr>
              <m:nor/>
              <m:sty m:val="p"/>
            </m:rPr>
            <m:t>[CLS]; tokens; [SEP]</m:t>
          </m:r>
          <m:r>
            <m:rPr>
              <m:sty m:val="p"/>
            </m:rPr>
            <m:t>]</m:t>
          </m:r>
          <m:r>
            <m:rPr>
              <m:sty m:val="p"/>
            </m:rPr>
            <m:t>)</m:t>
          </m:r>
        </m:oMath>
      </m:oMathPara>
    </w:p>
    <w:p>
      <w:pPr>
        <w:pStyle w:val="FirstParagraph"/>
      </w:pPr>
      <w:r>
        <w:rPr>
          <w:b/>
          <w:bCs/>
        </w:rPr>
        <w:t xml:space="preserve">Visual Encoder.</w:t>
      </w:r>
      <w:r>
        <w:t xml:space="preserve"> </w:t>
      </w:r>
      <w:r>
        <w:t xml:space="preserve">Visual features are extracted from pre-trained ResNet-50:</w:t>
      </w:r>
    </w:p>
    <w:p>
      <w:pPr>
        <w:pStyle w:val="BodyText"/>
      </w:pPr>
      <m:oMathPara>
        <m:oMathParaPr>
          <m:jc m:val="center"/>
        </m:oMathParaPr>
        <m:oMath>
          <m:sSub>
            <m:e>
              <m:r>
                <m:rPr>
                  <m:sty m:val="bi"/>
                </m:rPr>
                <m:t>H</m:t>
              </m:r>
            </m:e>
            <m:sub>
              <m:r>
                <m:rPr>
                  <m:nor/>
                  <m:sty m:val="p"/>
                </m:rPr>
                <m:t>vis</m:t>
              </m:r>
            </m:sub>
          </m:sSub>
          <m:r>
            <m:rPr>
              <m:sty m:val="p"/>
            </m:rPr>
            <m:t>=</m:t>
          </m:r>
          <m:r>
            <m:rPr>
              <m:nor/>
              <m:sty m:val="p"/>
            </m:rPr>
            <m:t>FC</m:t>
          </m:r>
          <m:r>
            <m:rPr>
              <m:sty m:val="p"/>
            </m:rPr>
            <m:t>(</m:t>
          </m:r>
          <m:r>
            <m:rPr>
              <m:nor/>
              <m:sty m:val="p"/>
            </m:rPr>
            <m:t>ResNet-50</m:t>
          </m:r>
          <m:r>
            <m:rPr>
              <m:sty m:val="p"/>
            </m:rPr>
            <m:t>(</m:t>
          </m:r>
          <m:r>
            <m:rPr>
              <m:nor/>
              <m:sty m:val="p"/>
            </m:rPr>
            <m:t>images</m:t>
          </m:r>
          <m:r>
            <m:rPr>
              <m:sty m:val="p"/>
            </m:rPr>
            <m:t>)</m:t>
          </m:r>
          <m:r>
            <m:rPr>
              <m:sty m:val="p"/>
            </m:rPr>
            <m:t>)</m:t>
          </m:r>
        </m:oMath>
      </m:oMathPara>
    </w:p>
    <w:p>
      <w:pPr>
        <w:pStyle w:val="FirstParagraph"/>
      </w:pPr>
      <w:r>
        <w:rPr>
          <w:b/>
          <w:bCs/>
        </w:rPr>
        <w:t xml:space="preserve">Cross-Modal Attention.</w:t>
      </w:r>
      <w:r>
        <w:t xml:space="preserve"> </w:t>
      </w:r>
      <w:r>
        <w:t xml:space="preserve">We fuse linguistic and visual representations through multi-head attention:</w:t>
      </w:r>
    </w:p>
    <w:p>
      <w:pPr>
        <w:pStyle w:val="BodyText"/>
      </w:pPr>
      <m:oMathPara>
        <m:oMathParaPr>
          <m:jc m:val="center"/>
        </m:oMathParaPr>
        <m:oMath>
          <m:sSub>
            <m:e>
              <m:r>
                <m:rPr>
                  <m:sty m:val="bi"/>
                </m:rPr>
                <m:t>H</m:t>
              </m:r>
            </m:e>
            <m:sub>
              <m:r>
                <m:rPr>
                  <m:nor/>
                  <m:sty m:val="p"/>
                </m:rPr>
                <m:t>fused</m:t>
              </m:r>
            </m:sub>
          </m:sSub>
          <m:r>
            <m:rPr>
              <m:sty m:val="p"/>
            </m:rPr>
            <m:t>=</m:t>
          </m:r>
          <m:r>
            <m:rPr>
              <m:nor/>
              <m:sty m:val="p"/>
            </m:rPr>
            <m:t>CrossAttention</m:t>
          </m:r>
          <m:r>
            <m:rPr>
              <m:sty m:val="p"/>
            </m:rPr>
            <m:t>(</m:t>
          </m:r>
          <m:sSub>
            <m:e>
              <m:r>
                <m:rPr>
                  <m:sty m:val="bi"/>
                </m:rPr>
                <m:t>H</m:t>
              </m:r>
            </m:e>
            <m:sub>
              <m:r>
                <m:rPr>
                  <m:nor/>
                  <m:sty m:val="p"/>
                </m:rPr>
                <m:t>text</m:t>
              </m:r>
            </m:sub>
          </m:sSub>
          <m:r>
            <m:rPr>
              <m:sty m:val="p"/>
            </m:rPr>
            <m:t>,</m:t>
          </m:r>
          <m:sSub>
            <m:e>
              <m:r>
                <m:rPr>
                  <m:sty m:val="bi"/>
                </m:rPr>
                <m:t>H</m:t>
              </m:r>
            </m:e>
            <m:sub>
              <m:r>
                <m:rPr>
                  <m:nor/>
                  <m:sty m:val="p"/>
                </m:rPr>
                <m:t>vis</m:t>
              </m:r>
            </m:sub>
          </m:sSub>
          <m:r>
            <m:rPr>
              <m:sty m:val="p"/>
            </m:rPr>
            <m:t>)</m:t>
          </m:r>
        </m:oMath>
      </m:oMathPara>
    </w:p>
    <w:p>
      <w:pPr>
        <w:pStyle w:val="FirstParagraph"/>
      </w:pPr>
      <w:r>
        <w:rPr>
          <w:b/>
          <w:bCs/>
        </w:rPr>
        <w:t xml:space="preserve">Action Predictor.</w:t>
      </w:r>
      <w:r>
        <w:t xml:space="preserve"> </w:t>
      </w:r>
      <w:r>
        <w:t xml:space="preserve">The final action is predicted through:</w:t>
      </w:r>
    </w:p>
    <w:p>
      <w:pPr>
        <w:pStyle w:val="BodyText"/>
      </w:pPr>
      <m:oMathPara>
        <m:oMathParaPr>
          <m:jc m:val="center"/>
        </m:oMathParaPr>
        <m:oMath>
          <m:r>
            <m:t>P</m:t>
          </m:r>
          <m:r>
            <m:rPr>
              <m:sty m:val="p"/>
            </m:rPr>
            <m:t>(</m:t>
          </m:r>
          <m:r>
            <m:rPr>
              <m:nor/>
              <m:sty m:val="p"/>
            </m:rPr>
            <m:t>action</m:t>
          </m:r>
          <m:r>
            <m:rPr>
              <m:sty m:val="p"/>
            </m:rPr>
            <m:t>)</m:t>
          </m:r>
          <m:r>
            <m:rPr>
              <m:sty m:val="p"/>
            </m:rPr>
            <m:t>=</m:t>
          </m:r>
          <m:r>
            <m:rPr>
              <m:nor/>
              <m:sty m:val="p"/>
            </m:rPr>
            <m:t>Softmax</m:t>
          </m:r>
          <m:r>
            <m:rPr>
              <m:sty m:val="p"/>
            </m:rPr>
            <m:t>(</m:t>
          </m:r>
          <m:r>
            <m:rPr>
              <m:sty m:val="bi"/>
            </m:rPr>
            <m:t>W</m:t>
          </m:r>
          <m:r>
            <m:rPr>
              <m:sty m:val="p"/>
            </m:rPr>
            <m:t>[</m:t>
          </m:r>
          <m:sSub>
            <m:e>
              <m:r>
                <m:rPr>
                  <m:sty m:val="bi"/>
                </m:rPr>
                <m:t>h</m:t>
              </m:r>
            </m:e>
            <m:sub>
              <m:r>
                <m:rPr>
                  <m:nor/>
                  <m:sty m:val="p"/>
                </m:rPr>
                <m:t>[CLS]</m:t>
              </m:r>
            </m:sub>
          </m:sSub>
          <m:r>
            <m:rPr>
              <m:sty m:val="p"/>
            </m:rPr>
            <m:t>;</m:t>
          </m:r>
          <m:sSub>
            <m:e>
              <m:r>
                <m:rPr>
                  <m:sty m:val="bi"/>
                </m:rPr>
                <m:t>h</m:t>
              </m:r>
            </m:e>
            <m:sub>
              <m:r>
                <m:rPr>
                  <m:nor/>
                  <m:sty m:val="p"/>
                </m:rPr>
                <m:t>candidate</m:t>
              </m:r>
            </m:sub>
          </m:sSub>
          <m:r>
            <m:rPr>
              <m:sty m:val="p"/>
            </m:rPr>
            <m:t>]</m:t>
          </m:r>
          <m:r>
            <m:rPr>
              <m:sty m:val="p"/>
            </m:rPr>
            <m:t>)</m:t>
          </m:r>
        </m:oMath>
      </m:oMathPara>
    </w:p>
    <w:bookmarkEnd w:id="17"/>
    <w:bookmarkStart w:id="18" w:name="training-strategy"/>
    <w:p>
      <w:pPr>
        <w:pStyle w:val="Heading3"/>
      </w:pPr>
      <w:r>
        <w:t xml:space="preserve">3.4 Training Strategy</w:t>
      </w:r>
    </w:p>
    <w:p>
      <w:pPr>
        <w:pStyle w:val="FirstParagraph"/>
      </w:pPr>
      <w:r>
        <w:rPr>
          <w:b/>
          <w:bCs/>
        </w:rPr>
        <w:t xml:space="preserve">Learning Rate Schedule.</w:t>
      </w:r>
      <w:r>
        <w:t xml:space="preserve"> </w:t>
      </w:r>
      <w:r>
        <w:t xml:space="preserve">We use warmup (3 epochs) followed by cosine annealing decay:</w:t>
      </w:r>
    </w:p>
    <w:p>
      <w:pPr>
        <w:pStyle w:val="BodyText"/>
      </w:pPr>
      <m:oMathPara>
        <m:oMathParaPr>
          <m:jc m:val="center"/>
        </m:oMathParaPr>
        <m:oMath>
          <m:r>
            <m:rPr>
              <m:nor/>
              <m:sty m:val="p"/>
            </m:rPr>
            <m:t>lr</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rPr>
                            <m:nor/>
                            <m:sty m:val="p"/>
                          </m:rPr>
                          <m:t>lr</m:t>
                        </m:r>
                      </m:e>
                      <m:sub>
                        <m:r>
                          <m:rPr>
                            <m:sty m:val="p"/>
                          </m:rPr>
                          <m:t>max</m:t>
                        </m:r>
                      </m:sub>
                    </m:sSub>
                    <m:r>
                      <m:rPr>
                        <m:sty m:val="p"/>
                      </m:rPr>
                      <m:t>⋅</m:t>
                    </m:r>
                    <m:f>
                      <m:fPr>
                        <m:type m:val="bar"/>
                      </m:fPr>
                      <m:num>
                        <m:r>
                          <m:t>t</m:t>
                        </m:r>
                      </m:num>
                      <m:den>
                        <m:sSub>
                          <m:e>
                            <m:r>
                              <m:t>t</m:t>
                            </m:r>
                          </m:e>
                          <m:sub>
                            <m:r>
                              <m:rPr>
                                <m:nor/>
                                <m:sty m:val="p"/>
                              </m:rPr>
                              <m:t>warmup</m:t>
                            </m:r>
                          </m:sub>
                        </m:sSub>
                      </m:den>
                    </m:f>
                  </m:e>
                  <m:e>
                    <m:r>
                      <m:t>t</m:t>
                    </m:r>
                    <m:r>
                      <m:rPr>
                        <m:sty m:val="p"/>
                      </m:rPr>
                      <m:t>≤</m:t>
                    </m:r>
                    <m:sSub>
                      <m:e>
                        <m:r>
                          <m:t>t</m:t>
                        </m:r>
                      </m:e>
                      <m:sub>
                        <m:r>
                          <m:rPr>
                            <m:nor/>
                            <m:sty m:val="p"/>
                          </m:rPr>
                          <m:t>warmup</m:t>
                        </m:r>
                      </m:sub>
                    </m:sSub>
                  </m:e>
                </m:mr>
                <m:mr>
                  <m:e>
                    <m:sSub>
                      <m:e>
                        <m:r>
                          <m:rPr>
                            <m:nor/>
                            <m:sty m:val="p"/>
                          </m:rPr>
                          <m:t>lr</m:t>
                        </m:r>
                      </m:e>
                      <m:sub>
                        <m:r>
                          <m:rPr>
                            <m:sty m:val="p"/>
                          </m:rPr>
                          <m:t>min</m:t>
                        </m:r>
                      </m:sub>
                    </m:sSub>
                    <m:r>
                      <m:rPr>
                        <m:sty m:val="p"/>
                      </m:rPr>
                      <m:t>+</m:t>
                    </m:r>
                    <m:f>
                      <m:fPr>
                        <m:type m:val="bar"/>
                      </m:fPr>
                      <m:num>
                        <m:r>
                          <m:t>1</m:t>
                        </m:r>
                      </m:num>
                      <m:den>
                        <m:r>
                          <m:t>2</m:t>
                        </m:r>
                      </m:den>
                    </m:f>
                    <m:r>
                      <m:rPr>
                        <m:sty m:val="p"/>
                      </m:rPr>
                      <m:t>(</m:t>
                    </m:r>
                    <m:sSub>
                      <m:e>
                        <m:r>
                          <m:rPr>
                            <m:nor/>
                            <m:sty m:val="p"/>
                          </m:rPr>
                          <m:t>lr</m:t>
                        </m:r>
                      </m:e>
                      <m:sub>
                        <m:r>
                          <m:rPr>
                            <m:sty m:val="p"/>
                          </m:rPr>
                          <m:t>max</m:t>
                        </m:r>
                      </m:sub>
                    </m:sSub>
                    <m:r>
                      <m:rPr>
                        <m:sty m:val="p"/>
                      </m:rPr>
                      <m:t>−</m:t>
                    </m:r>
                    <m:sSub>
                      <m:e>
                        <m:r>
                          <m:rPr>
                            <m:nor/>
                            <m:sty m:val="p"/>
                          </m:rPr>
                          <m:t>lr</m:t>
                        </m:r>
                      </m:e>
                      <m:sub>
                        <m:r>
                          <m:rPr>
                            <m:sty m:val="p"/>
                          </m:rPr>
                          <m:t>min</m:t>
                        </m:r>
                      </m:sub>
                    </m:sSub>
                    <m:r>
                      <m:rPr>
                        <m:sty m:val="p"/>
                      </m:rPr>
                      <m:t>)</m:t>
                    </m:r>
                    <m:r>
                      <m:rPr>
                        <m:sty m:val="p"/>
                      </m:rPr>
                      <m:t>(</m:t>
                    </m:r>
                    <m:r>
                      <m:t>1</m:t>
                    </m:r>
                    <m:r>
                      <m:rPr>
                        <m:sty m:val="p"/>
                      </m:rPr>
                      <m:t>+</m:t>
                    </m:r>
                    <m:r>
                      <m:rPr>
                        <m:sty m:val="p"/>
                      </m:rPr>
                      <m:t>cos</m:t>
                    </m:r>
                    <m:r>
                      <m:rPr>
                        <m:sty m:val="p"/>
                      </m:rPr>
                      <m:t>(</m:t>
                    </m:r>
                    <m:r>
                      <m:t>π</m:t>
                    </m:r>
                    <m:f>
                      <m:fPr>
                        <m:type m:val="bar"/>
                      </m:fPr>
                      <m:num>
                        <m:r>
                          <m:t>t</m:t>
                        </m:r>
                        <m:r>
                          <m:rPr>
                            <m:sty m:val="p"/>
                          </m:rPr>
                          <m:t>−</m:t>
                        </m:r>
                        <m:sSub>
                          <m:e>
                            <m:r>
                              <m:t>t</m:t>
                            </m:r>
                          </m:e>
                          <m:sub>
                            <m:r>
                              <m:rPr>
                                <m:nor/>
                                <m:sty m:val="p"/>
                              </m:rPr>
                              <m:t>warmup</m:t>
                            </m:r>
                          </m:sub>
                        </m:sSub>
                      </m:num>
                      <m:den>
                        <m:r>
                          <m:t>T</m:t>
                        </m:r>
                        <m:r>
                          <m:rPr>
                            <m:sty m:val="p"/>
                          </m:rPr>
                          <m:t>−</m:t>
                        </m:r>
                        <m:sSub>
                          <m:e>
                            <m:r>
                              <m:t>t</m:t>
                            </m:r>
                          </m:e>
                          <m:sub>
                            <m:r>
                              <m:rPr>
                                <m:nor/>
                                <m:sty m:val="p"/>
                              </m:rPr>
                              <m:t>warmup</m:t>
                            </m:r>
                          </m:sub>
                        </m:sSub>
                      </m:den>
                    </m:f>
                    <m:r>
                      <m:rPr>
                        <m:sty m:val="p"/>
                      </m:rPr>
                      <m:t>)</m:t>
                    </m:r>
                    <m:r>
                      <m:rPr>
                        <m:sty m:val="p"/>
                      </m:rPr>
                      <m:t>)</m:t>
                    </m:r>
                  </m:e>
                  <m:e>
                    <m:r>
                      <m:t>t</m:t>
                    </m:r>
                    <m:r>
                      <m:rPr>
                        <m:sty m:val="p"/>
                      </m:rPr>
                      <m:t>&gt;</m:t>
                    </m:r>
                    <m:sSub>
                      <m:e>
                        <m:r>
                          <m:t>t</m:t>
                        </m:r>
                      </m:e>
                      <m:sub>
                        <m:r>
                          <m:rPr>
                            <m:nor/>
                            <m:sty m:val="p"/>
                          </m:rPr>
                          <m:t>warmup</m:t>
                        </m:r>
                      </m:sub>
                    </m:sSub>
                  </m:e>
                </m:mr>
              </m:m>
            </m:e>
          </m:d>
        </m:oMath>
      </m:oMathPara>
    </w:p>
    <w:p>
      <w:pPr>
        <w:pStyle w:val="FirstParagraph"/>
      </w:pPr>
      <w:r>
        <w:rPr>
          <w:b/>
          <w:bCs/>
        </w:rPr>
        <w:t xml:space="preserve">Gradient Accumulation.</w:t>
      </w:r>
      <w:r>
        <w:t xml:space="preserve"> </w:t>
      </w:r>
      <w:r>
        <w:t xml:space="preserve">We accumulate gradients over 2 steps for effective batch size of 32.</w:t>
      </w:r>
    </w:p>
    <w:p>
      <w:pPr>
        <w:pStyle w:val="BodyText"/>
      </w:pPr>
      <w:r>
        <w:rPr>
          <w:b/>
          <w:bCs/>
        </w:rPr>
        <w:t xml:space="preserve">Early Stopping.</w:t>
      </w:r>
      <w:r>
        <w:t xml:space="preserve"> </w:t>
      </w:r>
      <w:r>
        <w:t xml:space="preserve">Training stops after 5 epochs without validation loss improvement.</w:t>
      </w:r>
    </w:p>
    <w:p>
      <w:r>
        <w:pict>
          <v:rect style="width:0;height:1.5pt" o:hralign="center" o:hrstd="t" o:hr="t"/>
        </w:pict>
      </w:r>
    </w:p>
    <w:bookmarkEnd w:id="18"/>
    <w:bookmarkEnd w:id="19"/>
    <w:bookmarkStart w:id="34" w:name="experiments"/>
    <w:p>
      <w:pPr>
        <w:pStyle w:val="Heading2"/>
      </w:pPr>
      <w:r>
        <w:t xml:space="preserve">4. Experiments</w:t>
      </w:r>
    </w:p>
    <w:bookmarkStart w:id="20" w:name="experimental-setup"/>
    <w:p>
      <w:pPr>
        <w:pStyle w:val="Heading3"/>
      </w:pPr>
      <w:r>
        <w:t xml:space="preserve">4.1 Experimental Setup</w:t>
      </w:r>
    </w:p>
    <w:p>
      <w:pPr>
        <w:pStyle w:val="FirstParagraph"/>
      </w:pPr>
      <w:r>
        <w:rPr>
          <w:b/>
          <w:bCs/>
        </w:rPr>
        <w:t xml:space="preserve">Implementation Details.</w:t>
      </w:r>
      <w:r>
        <w:t xml:space="preserve"> </w:t>
      </w:r>
      <w:r>
        <w:t xml:space="preserve">- Framework: PyTorch 2.x</w:t>
      </w:r>
      <w:r>
        <w:t xml:space="preserve"> </w:t>
      </w:r>
      <w:r>
        <w:t xml:space="preserve">- Visual features: ResNet-50 (2048-d) → FC → 256-d</w:t>
      </w:r>
      <w:r>
        <w:t xml:space="preserve"> </w:t>
      </w:r>
      <w:r>
        <w:t xml:space="preserve">- Transformer: 2 encoder layers, 8 attention heads, d_model=256</w:t>
      </w:r>
      <w:r>
        <w:t xml:space="preserve"> </w:t>
      </w:r>
      <w:r>
        <w:t xml:space="preserve">- Vocabulary: 97 Chinese characters</w:t>
      </w:r>
      <w:r>
        <w:t xml:space="preserve"> </w:t>
      </w:r>
      <w:r>
        <w:t xml:space="preserve">- Training: CPU, 20 epochs max, early stopping patience=5</w:t>
      </w:r>
    </w:p>
    <w:p>
      <w:pPr>
        <w:pStyle w:val="BodyText"/>
      </w:pPr>
      <w:r>
        <w:rPr>
          <w:b/>
          <w:bCs/>
        </w:rPr>
        <w:t xml:space="preserve">Data Statistics.</w:t>
      </w:r>
      <w:r>
        <w:t xml:space="preserve"> </w:t>
      </w:r>
      <w:r>
        <w:t xml:space="preserve">- Training set: 1,000 samples (LLM-generated)</w:t>
      </w:r>
      <w:r>
        <w:t xml:space="preserve"> </w:t>
      </w:r>
      <w:r>
        <w:t xml:space="preserve">- Validation set: 200 samples</w:t>
      </w:r>
      <w:r>
        <w:t xml:space="preserve"> </w:t>
      </w:r>
      <w:r>
        <w:t xml:space="preserve">- Average instruction length: 20 characters</w:t>
      </w:r>
    </w:p>
    <w:p>
      <w:pPr>
        <w:pStyle w:val="BodyText"/>
      </w:pPr>
      <w:r>
        <w:rPr>
          <w:b/>
          <w:bCs/>
        </w:rPr>
        <w:t xml:space="preserve">Evaluation Metrics.</w:t>
      </w:r>
      <w:r>
        <w:t xml:space="preserve"> </w:t>
      </w:r>
      <w:r>
        <w:t xml:space="preserve">-</w:t>
      </w:r>
      <w:r>
        <w:t xml:space="preserve"> </w:t>
      </w:r>
      <w:r>
        <w:rPr>
          <w:b/>
          <w:bCs/>
        </w:rPr>
        <w:t xml:space="preserve">SR (Success Rate)</w:t>
      </w:r>
      <w:r>
        <w:t xml:space="preserve">: Percentage of successful navigations (distance to goal &lt; 3m)</w:t>
      </w:r>
      <w:r>
        <w:t xml:space="preserve"> </w:t>
      </w:r>
      <w:r>
        <w:t xml:space="preserve">-</w:t>
      </w:r>
      <w:r>
        <w:t xml:space="preserve"> </w:t>
      </w:r>
      <w:r>
        <w:rPr>
          <w:b/>
          <w:bCs/>
        </w:rPr>
        <w:t xml:space="preserve">SPL (Success weighted by Path Length)</w:t>
      </w:r>
      <w:r>
        <w:t xml:space="preserve">: Efficiency-weighted success rate</w:t>
      </w:r>
      <w:r>
        <w:t xml:space="preserve"> </w:t>
      </w:r>
      <w:r>
        <w:t xml:space="preserve">-</w:t>
      </w:r>
      <w:r>
        <w:t xml:space="preserve"> </w:t>
      </w:r>
      <w:r>
        <w:rPr>
          <w:b/>
          <w:bCs/>
        </w:rPr>
        <w:t xml:space="preserve">Oracle SR</w:t>
      </w:r>
      <w:r>
        <w:t xml:space="preserve">: Upper bound (success if any point in trajectory reaches goal)</w:t>
      </w:r>
    </w:p>
    <w:bookmarkEnd w:id="20"/>
    <w:bookmarkStart w:id="23" w:name="main-results"/>
    <w:p>
      <w:pPr>
        <w:pStyle w:val="Heading3"/>
      </w:pPr>
      <w:r>
        <w:t xml:space="preserve">4.2 Main Results</w:t>
      </w:r>
    </w:p>
    <w:bookmarkStart w:id="21" w:name="comparison-with-vln-bert-baseline"/>
    <w:p>
      <w:pPr>
        <w:pStyle w:val="Heading4"/>
      </w:pPr>
      <w:r>
        <w:t xml:space="preserve">Comparison with VLN-BERT Baseline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Data</w:t>
            </w:r>
          </w:p>
        </w:tc>
        <w:tc>
          <w:tcPr/>
          <w:p>
            <w:pPr>
              <w:pStyle w:val="Compact"/>
            </w:pPr>
            <w:r>
              <w:t xml:space="preserve">SR</w:t>
            </w:r>
          </w:p>
        </w:tc>
        <w:tc>
          <w:tcPr/>
          <w:p>
            <w:pPr>
              <w:pStyle w:val="Compact"/>
            </w:pPr>
            <w:r>
              <w:t xml:space="preserve">SPL</w:t>
            </w:r>
          </w:p>
        </w:tc>
        <w:tc>
          <w:tcPr/>
          <w:p>
            <w:pPr>
              <w:pStyle w:val="Compact"/>
            </w:pPr>
            <w:r>
              <w:t xml:space="preserve">Oracle SR</w:t>
            </w:r>
          </w:p>
        </w:tc>
      </w:tr>
      <w:tr>
        <w:tc>
          <w:tcPr/>
          <w:p>
            <w:pPr>
              <w:pStyle w:val="Compact"/>
            </w:pPr>
            <w:r>
              <w:t xml:space="preserve">VLN-BERT (paper)</w:t>
            </w:r>
          </w:p>
        </w:tc>
        <w:tc>
          <w:tcPr/>
          <w:p>
            <w:pPr>
              <w:pStyle w:val="Compact"/>
            </w:pPr>
            <w:r>
              <w:t xml:space="preserve">R2R English</w:t>
            </w:r>
          </w:p>
        </w:tc>
        <w:tc>
          <w:tcPr/>
          <w:p>
            <w:pPr>
              <w:pStyle w:val="Compact"/>
            </w:pPr>
            <w:r>
              <w:t xml:space="preserve">~55%</w:t>
            </w:r>
          </w:p>
        </w:tc>
        <w:tc>
          <w:tcPr/>
          <w:p>
            <w:pPr>
              <w:pStyle w:val="Compact"/>
            </w:pPr>
            <w:r>
              <w:t xml:space="preserve">~50%</w:t>
            </w:r>
          </w:p>
        </w:tc>
        <w:tc>
          <w:tcPr/>
          <w:p>
            <w:pPr>
              <w:pStyle w:val="Compact"/>
            </w:pPr>
            <w:r>
              <w:t xml:space="preserve">-</w:t>
            </w:r>
          </w:p>
        </w:tc>
      </w:tr>
      <w:tr>
        <w:tc>
          <w:tcPr/>
          <w:p>
            <w:pPr>
              <w:pStyle w:val="Compact"/>
            </w:pPr>
            <w:r>
              <w:rPr>
                <w:b/>
                <w:bCs/>
              </w:rPr>
              <w:t xml:space="preserve">Ours</w:t>
            </w:r>
          </w:p>
        </w:tc>
        <w:tc>
          <w:tcPr/>
          <w:p>
            <w:pPr>
              <w:pStyle w:val="Compact"/>
            </w:pPr>
            <w:r>
              <w:t xml:space="preserve">LLM Chinese</w:t>
            </w:r>
          </w:p>
        </w:tc>
        <w:tc>
          <w:tcPr/>
          <w:p>
            <w:pPr>
              <w:pStyle w:val="Compact"/>
            </w:pPr>
            <w:r>
              <w:rPr>
                <w:b/>
                <w:bCs/>
              </w:rPr>
              <w:t xml:space="preserve">62.0%</w:t>
            </w:r>
          </w:p>
        </w:tc>
        <w:tc>
          <w:tcPr/>
          <w:p>
            <w:pPr>
              <w:pStyle w:val="Compact"/>
            </w:pPr>
            <w:r>
              <w:rPr>
                <w:b/>
                <w:bCs/>
              </w:rPr>
              <w:t xml:space="preserve">61.8%</w:t>
            </w:r>
          </w:p>
        </w:tc>
        <w:tc>
          <w:tcPr/>
          <w:p>
            <w:pPr>
              <w:pStyle w:val="Compact"/>
            </w:pPr>
            <w:r>
              <w:rPr>
                <w:b/>
                <w:bCs/>
              </w:rPr>
              <w:t xml:space="preserve">69.0%</w:t>
            </w:r>
          </w:p>
        </w:tc>
      </w:tr>
    </w:tbl>
    <w:bookmarkEnd w:id="21"/>
    <w:bookmarkStart w:id="22" w:name="training-progress"/>
    <w:p>
      <w:pPr>
        <w:pStyle w:val="Heading4"/>
      </w:pPr>
      <w:r>
        <w:t xml:space="preserve">Training Progress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Epoch</w:t>
            </w:r>
          </w:p>
        </w:tc>
        <w:tc>
          <w:tcPr/>
          <w:p>
            <w:pPr>
              <w:pStyle w:val="Compact"/>
            </w:pPr>
            <w:r>
              <w:t xml:space="preserve">Train Loss</w:t>
            </w:r>
          </w:p>
        </w:tc>
        <w:tc>
          <w:tcPr/>
          <w:p>
            <w:pPr>
              <w:pStyle w:val="Compact"/>
            </w:pPr>
            <w:r>
              <w:t xml:space="preserve">Val Loss</w:t>
            </w:r>
          </w:p>
        </w:tc>
      </w:tr>
      <w:tr>
        <w:tc>
          <w:tcPr/>
          <w:p>
            <w:pPr>
              <w:pStyle w:val="Compact"/>
            </w:pPr>
            <w:r>
              <w:t xml:space="preserve">1</w:t>
            </w:r>
          </w:p>
        </w:tc>
        <w:tc>
          <w:tcPr/>
          <w:p>
            <w:pPr>
              <w:pStyle w:val="Compact"/>
            </w:pPr>
            <w:r>
              <w:t xml:space="preserve">3.5815</w:t>
            </w:r>
          </w:p>
        </w:tc>
        <w:tc>
          <w:tcPr/>
          <w:p>
            <w:pPr>
              <w:pStyle w:val="Compact"/>
            </w:pPr>
            <w:r>
              <w:t xml:space="preserve">3.5794</w:t>
            </w:r>
          </w:p>
        </w:tc>
      </w:tr>
      <w:tr>
        <w:tc>
          <w:tcPr/>
          <w:p>
            <w:pPr>
              <w:pStyle w:val="Compact"/>
            </w:pPr>
            <w:r>
              <w:t xml:space="preserve">4</w:t>
            </w:r>
          </w:p>
        </w:tc>
        <w:tc>
          <w:tcPr/>
          <w:p>
            <w:pPr>
              <w:pStyle w:val="Compact"/>
            </w:pPr>
            <w:r>
              <w:t xml:space="preserve">2.8873</w:t>
            </w:r>
          </w:p>
        </w:tc>
        <w:tc>
          <w:tcPr/>
          <w:p>
            <w:pPr>
              <w:pStyle w:val="Compact"/>
            </w:pPr>
            <w:r>
              <w:t xml:space="preserve">2.6639</w:t>
            </w:r>
          </w:p>
        </w:tc>
      </w:tr>
      <w:tr>
        <w:tc>
          <w:tcPr/>
          <w:p>
            <w:pPr>
              <w:pStyle w:val="Compact"/>
            </w:pPr>
            <w:r>
              <w:t xml:space="preserve">15</w:t>
            </w:r>
          </w:p>
        </w:tc>
        <w:tc>
          <w:tcPr/>
          <w:p>
            <w:pPr>
              <w:pStyle w:val="Compact"/>
            </w:pPr>
            <w:r>
              <w:t xml:space="preserve">2.6303</w:t>
            </w:r>
          </w:p>
        </w:tc>
        <w:tc>
          <w:tcPr/>
          <w:p>
            <w:pPr>
              <w:pStyle w:val="Compact"/>
            </w:pPr>
            <w:r>
              <w:t xml:space="preserve">2.6303 (best)</w:t>
            </w:r>
          </w:p>
        </w:tc>
      </w:tr>
    </w:tbl>
    <w:bookmarkEnd w:id="22"/>
    <w:bookmarkEnd w:id="23"/>
    <w:bookmarkStart w:id="26" w:name="ablation-studies"/>
    <w:p>
      <w:pPr>
        <w:pStyle w:val="Heading3"/>
      </w:pPr>
      <w:r>
        <w:t xml:space="preserve">4.3 Ablation Studies</w:t>
      </w:r>
    </w:p>
    <w:bookmarkStart w:id="24" w:name="llm-vs.-machine-translation"/>
    <w:p>
      <w:pPr>
        <w:pStyle w:val="Heading4"/>
      </w:pPr>
      <w:r>
        <w:t xml:space="preserve">LLM vs. Machine Translation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Excellent Rate</w:t>
            </w:r>
          </w:p>
        </w:tc>
        <w:tc>
          <w:tcPr/>
          <w:p>
            <w:pPr>
              <w:pStyle w:val="Compact"/>
            </w:pPr>
            <w:r>
              <w:t xml:space="preserve">Avg Score</w:t>
            </w:r>
          </w:p>
        </w:tc>
      </w:tr>
      <w:tr>
        <w:tc>
          <w:tcPr/>
          <w:p>
            <w:pPr>
              <w:pStyle w:val="Compact"/>
            </w:pPr>
            <w:r>
              <w:t xml:space="preserve">Machine Translation</w:t>
            </w:r>
          </w:p>
        </w:tc>
        <w:tc>
          <w:tcPr/>
          <w:p>
            <w:pPr>
              <w:pStyle w:val="Compact"/>
            </w:pPr>
            <w:r>
              <w:t xml:space="preserve">20.0%</w:t>
            </w:r>
          </w:p>
        </w:tc>
        <w:tc>
          <w:tcPr/>
          <w:p>
            <w:pPr>
              <w:pStyle w:val="Compact"/>
            </w:pPr>
            <w:r>
              <w:t xml:space="preserve">4.28</w:t>
            </w:r>
          </w:p>
        </w:tc>
      </w:tr>
      <w:tr>
        <w:tc>
          <w:tcPr/>
          <w:p>
            <w:pPr>
              <w:pStyle w:val="Compact"/>
            </w:pPr>
            <w:r>
              <w:rPr>
                <w:b/>
                <w:bCs/>
              </w:rPr>
              <w:t xml:space="preserve">LLM Direct</w:t>
            </w:r>
          </w:p>
        </w:tc>
        <w:tc>
          <w:tcPr/>
          <w:p>
            <w:pPr>
              <w:pStyle w:val="Compact"/>
            </w:pPr>
            <w:r>
              <w:rPr>
                <w:b/>
                <w:bCs/>
              </w:rPr>
              <w:t xml:space="preserve">76.7%</w:t>
            </w:r>
          </w:p>
        </w:tc>
        <w:tc>
          <w:tcPr/>
          <w:p>
            <w:pPr>
              <w:pStyle w:val="Compact"/>
            </w:pPr>
            <w:r>
              <w:rPr>
                <w:b/>
                <w:bCs/>
              </w:rPr>
              <w:t xml:space="preserve">4.61</w:t>
            </w:r>
          </w:p>
        </w:tc>
      </w:tr>
    </w:tbl>
    <w:bookmarkEnd w:id="24"/>
    <w:bookmarkStart w:id="25" w:name="visual-features"/>
    <w:p>
      <w:pPr>
        <w:pStyle w:val="Heading4"/>
      </w:pPr>
      <w:r>
        <w:t xml:space="preserve">Visual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 Type</w:t>
            </w:r>
          </w:p>
        </w:tc>
        <w:tc>
          <w:tcPr/>
          <w:p>
            <w:pPr>
              <w:pStyle w:val="Compact"/>
            </w:pPr>
            <w:r>
              <w:t xml:space="preserve">Best Val Loss</w:t>
            </w:r>
          </w:p>
        </w:tc>
        <w:tc>
          <w:tcPr/>
          <w:p>
            <w:pPr>
              <w:pStyle w:val="Compact"/>
            </w:pPr>
            <w:r>
              <w:t xml:space="preserve">Training Time</w:t>
            </w:r>
          </w:p>
        </w:tc>
      </w:tr>
      <w:tr>
        <w:tc>
          <w:tcPr/>
          <w:p>
            <w:pPr>
              <w:pStyle w:val="Compact"/>
            </w:pPr>
            <w:r>
              <w:t xml:space="preserve">Random Gaussian</w:t>
            </w:r>
          </w:p>
        </w:tc>
        <w:tc>
          <w:tcPr/>
          <w:p>
            <w:pPr>
              <w:pStyle w:val="Compact"/>
            </w:pPr>
            <w:r>
              <w:t xml:space="preserve">3.37</w:t>
            </w:r>
          </w:p>
        </w:tc>
        <w:tc>
          <w:tcPr/>
          <w:p>
            <w:pPr>
              <w:pStyle w:val="Compact"/>
            </w:pPr>
            <w:r>
              <w:t xml:space="preserve">6 min</w:t>
            </w:r>
          </w:p>
        </w:tc>
      </w:tr>
      <w:tr>
        <w:tc>
          <w:tcPr/>
          <w:p>
            <w:pPr>
              <w:pStyle w:val="Compact"/>
            </w:pPr>
            <w:r>
              <w:rPr>
                <w:b/>
                <w:bCs/>
              </w:rPr>
              <w:t xml:space="preserve">ResNet-50</w:t>
            </w:r>
          </w:p>
        </w:tc>
        <w:tc>
          <w:tcPr/>
          <w:p>
            <w:pPr>
              <w:pStyle w:val="Compact"/>
            </w:pPr>
            <w:r>
              <w:rPr>
                <w:b/>
                <w:bCs/>
              </w:rPr>
              <w:t xml:space="preserve">2.63 (-22%)</w:t>
            </w:r>
          </w:p>
        </w:tc>
        <w:tc>
          <w:tcPr/>
          <w:p>
            <w:pPr>
              <w:pStyle w:val="Compact"/>
            </w:pPr>
            <w:r>
              <w:rPr>
                <w:b/>
                <w:bCs/>
              </w:rPr>
              <w:t xml:space="preserve">1 min (-83%)</w:t>
            </w:r>
          </w:p>
        </w:tc>
      </w:tr>
    </w:tbl>
    <w:bookmarkEnd w:id="25"/>
    <w:bookmarkEnd w:id="26"/>
    <w:bookmarkStart w:id="30" w:name="error-analysis"/>
    <w:p>
      <w:pPr>
        <w:pStyle w:val="Heading3"/>
      </w:pPr>
      <w:r>
        <w:t xml:space="preserve">4.4 Error Analysis</w:t>
      </w:r>
    </w:p>
    <w:bookmarkStart w:id="27" w:name="performance-by-instruction-type"/>
    <w:p>
      <w:pPr>
        <w:pStyle w:val="Heading4"/>
      </w:pPr>
      <w:r>
        <w:t xml:space="preserve">Performance by Instruction 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Samples</w:t>
            </w:r>
          </w:p>
        </w:tc>
        <w:tc>
          <w:tcPr/>
          <w:p>
            <w:pPr>
              <w:pStyle w:val="Compact"/>
            </w:pPr>
            <w:r>
              <w:t xml:space="preserve">SR</w:t>
            </w:r>
          </w:p>
        </w:tc>
      </w:tr>
      <w:tr>
        <w:tc>
          <w:tcPr/>
          <w:p>
            <w:pPr>
              <w:pStyle w:val="Compact"/>
            </w:pPr>
            <w:r>
              <w:t xml:space="preserve">Turn Left</w:t>
            </w:r>
          </w:p>
        </w:tc>
        <w:tc>
          <w:tcPr/>
          <w:p>
            <w:pPr>
              <w:pStyle w:val="Compact"/>
            </w:pPr>
            <w:r>
              <w:t xml:space="preserve">104</w:t>
            </w:r>
          </w:p>
        </w:tc>
        <w:tc>
          <w:tcPr/>
          <w:p>
            <w:pPr>
              <w:pStyle w:val="Compact"/>
            </w:pPr>
            <w:r>
              <w:t xml:space="preserve">58.7%</w:t>
            </w:r>
          </w:p>
        </w:tc>
      </w:tr>
      <w:tr>
        <w:tc>
          <w:tcPr/>
          <w:p>
            <w:pPr>
              <w:pStyle w:val="Compact"/>
            </w:pPr>
            <w:r>
              <w:t xml:space="preserve">Turn Right</w:t>
            </w:r>
          </w:p>
        </w:tc>
        <w:tc>
          <w:tcPr/>
          <w:p>
            <w:pPr>
              <w:pStyle w:val="Compact"/>
            </w:pPr>
            <w:r>
              <w:t xml:space="preserve">96</w:t>
            </w:r>
          </w:p>
        </w:tc>
        <w:tc>
          <w:tcPr/>
          <w:p>
            <w:pPr>
              <w:pStyle w:val="Compact"/>
            </w:pPr>
            <w:r>
              <w:t xml:space="preserve">65.6%</w:t>
            </w:r>
          </w:p>
        </w:tc>
      </w:tr>
      <w:tr>
        <w:tc>
          <w:tcPr/>
          <w:p>
            <w:pPr>
              <w:pStyle w:val="Compact"/>
            </w:pPr>
            <w:r>
              <w:t xml:space="preserve">Go Straight</w:t>
            </w:r>
          </w:p>
        </w:tc>
        <w:tc>
          <w:tcPr/>
          <w:p>
            <w:pPr>
              <w:pStyle w:val="Compact"/>
            </w:pPr>
            <w:r>
              <w:t xml:space="preserve">109</w:t>
            </w:r>
          </w:p>
        </w:tc>
        <w:tc>
          <w:tcPr/>
          <w:p>
            <w:pPr>
              <w:pStyle w:val="Compact"/>
            </w:pPr>
            <w:r>
              <w:t xml:space="preserve">68.8%</w:t>
            </w:r>
          </w:p>
        </w:tc>
      </w:tr>
    </w:tbl>
    <w:p>
      <w:pPr>
        <w:pStyle w:val="BodyText"/>
      </w:pPr>
      <w:r>
        <w:rPr>
          <w:b/>
          <w:bCs/>
        </w:rPr>
        <w:t xml:space="preserve">Observation:</w:t>
      </w:r>
      <w:r>
        <w:t xml:space="preserve"> </w:t>
      </w:r>
      <w:r>
        <w:t xml:space="preserve">Left-turn instructions show the lowest success rate (58.7%), while straight-forward instructions achieve the highest (68.8%). This suggests that directional reasoning, particularly for left/right distinctions, remains challenging. Staircase-related instructions achieve the highest success rate (77.3%), likely due to stairs being prominent visual landmarks.</w:t>
      </w:r>
    </w:p>
    <w:bookmarkEnd w:id="27"/>
    <w:bookmarkStart w:id="28" w:name="failure-modes"/>
    <w:p>
      <w:pPr>
        <w:pStyle w:val="Heading4"/>
      </w:pPr>
      <w:r>
        <w:t xml:space="preserve">Failure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Failure Type</w:t>
            </w:r>
          </w:p>
        </w:tc>
        <w:tc>
          <w:tcPr/>
          <w:p>
            <w:pPr>
              <w:pStyle w:val="Compact"/>
            </w:pPr>
            <w:r>
              <w:t xml:space="preserve">Ratio</w:t>
            </w:r>
          </w:p>
        </w:tc>
        <w:tc>
          <w:tcPr/>
          <w:p>
            <w:pPr>
              <w:pStyle w:val="Compact"/>
            </w:pPr>
            <w:r>
              <w:t xml:space="preserve">Avg Distance</w:t>
            </w:r>
          </w:p>
        </w:tc>
      </w:tr>
      <w:tr>
        <w:tc>
          <w:tcPr/>
          <w:p>
            <w:pPr>
              <w:pStyle w:val="Compact"/>
            </w:pPr>
            <w:r>
              <w:t xml:space="preserve">Slightly missed (3-4m)</w:t>
            </w:r>
          </w:p>
        </w:tc>
        <w:tc>
          <w:tcPr/>
          <w:p>
            <w:pPr>
              <w:pStyle w:val="Compact"/>
            </w:pPr>
            <w:r>
              <w:t xml:space="preserve">38.7%</w:t>
            </w:r>
          </w:p>
        </w:tc>
        <w:tc>
          <w:tcPr/>
          <w:p>
            <w:pPr>
              <w:pStyle w:val="Compact"/>
            </w:pPr>
            <w:r>
              <w:t xml:space="preserve">3.5m</w:t>
            </w:r>
          </w:p>
        </w:tc>
      </w:tr>
      <w:tr>
        <w:tc>
          <w:tcPr/>
          <w:p>
            <w:pPr>
              <w:pStyle w:val="Compact"/>
            </w:pPr>
            <w:r>
              <w:t xml:space="preserve">Significantly missed (&gt;5m)</w:t>
            </w:r>
          </w:p>
        </w:tc>
        <w:tc>
          <w:tcPr/>
          <w:p>
            <w:pPr>
              <w:pStyle w:val="Compact"/>
            </w:pPr>
            <w:r>
              <w:t xml:space="preserve">22.6%</w:t>
            </w:r>
          </w:p>
        </w:tc>
        <w:tc>
          <w:tcPr/>
          <w:p>
            <w:pPr>
              <w:pStyle w:val="Compact"/>
            </w:pPr>
            <w:r>
              <w:t xml:space="preserve">6.2m</w:t>
            </w:r>
          </w:p>
        </w:tc>
      </w:tr>
    </w:tbl>
    <w:bookmarkEnd w:id="28"/>
    <w:bookmarkStart w:id="29" w:name="failure-case-analysis"/>
    <w:p>
      <w:pPr>
        <w:pStyle w:val="Heading4"/>
      </w:pPr>
      <w:r>
        <w:t xml:space="preserve">Failure Case Analysis</w:t>
      </w:r>
    </w:p>
    <w:p>
      <w:pPr>
        <w:pStyle w:val="FirstParagraph"/>
      </w:pPr>
      <w:r>
        <w:t xml:space="preserve">We categorize failure cases by distance to goal:</w:t>
      </w:r>
    </w:p>
    <w:p>
      <w:pPr>
        <w:numPr>
          <w:ilvl w:val="0"/>
          <w:numId w:val="1003"/>
        </w:numPr>
      </w:pPr>
      <w:r>
        <w:rPr>
          <w:b/>
          <w:bCs/>
        </w:rPr>
        <w:t xml:space="preserve">Boundary failures (3-4m, 40.8% of failures)</w:t>
      </w:r>
      <w:r>
        <w:t xml:space="preserve">: These cases are close to the success threshold. Analysis shows that many boundary failures have correct Oracle SR, indicating the model predicts the correct action but the simplified trajectory simulation falls short.</w:t>
      </w:r>
    </w:p>
    <w:p>
      <w:pPr>
        <w:numPr>
          <w:ilvl w:val="0"/>
          <w:numId w:val="1003"/>
        </w:numPr>
      </w:pPr>
      <w:r>
        <w:rPr>
          <w:b/>
          <w:bCs/>
        </w:rPr>
        <w:t xml:space="preserve">Severe failures (&gt;5m, 31.6% of failures)</w:t>
      </w:r>
      <w:r>
        <w:t xml:space="preserve">: These often involve long-distance instructions (&gt;10m) or complex multi-step reasoning. Example:</w:t>
      </w:r>
      <w:r>
        <w:t xml:space="preserve"> </w:t>
      </w:r>
      <w:r>
        <w:rPr>
          <w:rFonts w:hint="eastAsia"/>
        </w:rPr>
        <w:t xml:space="preserve">“从门口开始，进入冰箱，然后右转走</w:t>
      </w:r>
      <w:r>
        <w:t xml:space="preserve"> 6 </w:t>
      </w:r>
      <w:r>
        <w:rPr>
          <w:rFonts w:hint="eastAsia"/>
        </w:rPr>
        <w:t xml:space="preserve">步”</w:t>
      </w:r>
      <w:r>
        <w:t xml:space="preserve"> </w:t>
      </w:r>
      <w:r>
        <w:t xml:space="preserve">contains a semantic error (</w:t>
      </w:r>
      <w:r>
        <w:rPr>
          <w:rFonts w:hint="eastAsia"/>
        </w:rPr>
        <w:t xml:space="preserve">“进入冰箱”</w:t>
      </w:r>
      <w:r>
        <w:t xml:space="preserve"> </w:t>
      </w:r>
      <w:r>
        <w:t xml:space="preserve">- enter refrigerator) that confuses the navigation.</w:t>
      </w:r>
    </w:p>
    <w:p>
      <w:pPr>
        <w:pStyle w:val="FirstParagraph"/>
      </w:pPr>
      <w:r>
        <w:rPr>
          <w:b/>
          <w:bCs/>
        </w:rPr>
        <w:t xml:space="preserve">Figure 3:</w:t>
      </w:r>
      <w:r>
        <w:t xml:space="preserve"> </w:t>
      </w:r>
      <w:r>
        <w:t xml:space="preserve">Typical success and failure cases with distance to goal and confidence scores.</w:t>
      </w:r>
    </w:p>
    <w:bookmarkEnd w:id="29"/>
    <w:bookmarkEnd w:id="30"/>
    <w:bookmarkStart w:id="33" w:name="attention-analysis"/>
    <w:p>
      <w:pPr>
        <w:pStyle w:val="Heading3"/>
      </w:pPr>
      <w:r>
        <w:t xml:space="preserve">4.5 Attention Analysis</w:t>
      </w:r>
    </w:p>
    <w:p>
      <w:pPr>
        <w:pStyle w:val="FirstParagraph"/>
      </w:pPr>
      <w:r>
        <w:t xml:space="preserve">To understand how the model fuses linguistic and visual information, we analyze the cross-modal attention weights.</w:t>
      </w:r>
    </w:p>
    <w:bookmarkStart w:id="31" w:name="attention-visualization"/>
    <w:p>
      <w:pPr>
        <w:pStyle w:val="Heading4"/>
      </w:pPr>
      <w:r>
        <w:t xml:space="preserve">Attention Visualization</w:t>
      </w:r>
    </w:p>
    <w:p>
      <w:pPr>
        <w:pStyle w:val="FirstParagraph"/>
      </w:pPr>
      <w:r>
        <w:t xml:space="preserve">We visualize attention weights for 6 representative samples covering different instruction types (Figure 2). The attention weights reveal several patterns:</w:t>
      </w:r>
    </w:p>
    <w:p>
      <w:pPr>
        <w:numPr>
          <w:ilvl w:val="0"/>
          <w:numId w:val="1004"/>
        </w:numPr>
      </w:pPr>
      <w:r>
        <w:rPr>
          <w:b/>
          <w:bCs/>
        </w:rPr>
        <w:t xml:space="preserve">Keyword Focus</w:t>
      </w:r>
      <w:r>
        <w:t xml:space="preserve">: Direction words </w:t>
      </w:r>
      <w:r>
        <w:rPr>
          <w:rFonts w:hint="eastAsia"/>
        </w:rPr>
        <w:t xml:space="preserve">(左转，右转，直走)</w:t>
      </w:r>
      <w:r>
        <w:t xml:space="preserve"> consistently receive higher attention weights, confirming that the model learns to focus on critical navigation cues.</w:t>
      </w:r>
    </w:p>
    <w:p>
      <w:pPr>
        <w:numPr>
          <w:ilvl w:val="0"/>
          <w:numId w:val="1004"/>
        </w:numPr>
      </w:pPr>
      <w:r>
        <w:rPr>
          <w:b/>
          <w:bCs/>
        </w:rPr>
        <w:t xml:space="preserve">Landmark Attention</w:t>
      </w:r>
      <w:r>
        <w:t xml:space="preserve">: Location nouns </w:t>
      </w:r>
      <w:r>
        <w:rPr>
          <w:rFonts w:hint="eastAsia"/>
        </w:rPr>
        <w:t xml:space="preserve">(楼梯，走廊，椅子)</w:t>
      </w:r>
      <w:r>
        <w:t xml:space="preserve"> also attract significant attention, indicating successful grounding of language to visual features.</w:t>
      </w:r>
    </w:p>
    <w:p>
      <w:pPr>
        <w:numPr>
          <w:ilvl w:val="0"/>
          <w:numId w:val="1004"/>
        </w:numPr>
      </w:pPr>
      <w:r>
        <w:rPr>
          <w:b/>
          <w:bCs/>
        </w:rPr>
        <w:t xml:space="preserve">Distance Words</w:t>
      </w:r>
      <w:r>
        <w:t xml:space="preserve">: Numerical expressions (3 </w:t>
      </w:r>
      <w:r>
        <w:rPr>
          <w:rFonts w:hint="eastAsia"/>
        </w:rPr>
        <w:t xml:space="preserve">米，10</w:t>
      </w:r>
      <w:r>
        <w:t xml:space="preserve"> </w:t>
      </w:r>
      <w:r>
        <w:rPr>
          <w:rFonts w:hint="eastAsia"/>
        </w:rPr>
        <w:t xml:space="preserve">米)</w:t>
      </w:r>
      <w:r>
        <w:t xml:space="preserve"> show moderate attention, suggesting the model incorporates distance information in navigation decisions.</w:t>
      </w:r>
    </w:p>
    <w:bookmarkEnd w:id="31"/>
    <w:bookmarkStart w:id="32" w:name="attention-by-instruction-type"/>
    <w:p>
      <w:pPr>
        <w:pStyle w:val="Heading4"/>
      </w:pPr>
      <w:r>
        <w:t xml:space="preserve">Attention by Instruction Type</w:t>
      </w:r>
    </w:p>
    <w:p>
      <w:pPr>
        <w:pStyle w:val="FirstParagraph"/>
      </w:pPr>
      <w:r>
        <w:t xml:space="preserve">We compute average attention patterns for different instruction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Instruction Type</w:t>
            </w:r>
          </w:p>
        </w:tc>
        <w:tc>
          <w:tcPr/>
          <w:p>
            <w:pPr>
              <w:pStyle w:val="Compact"/>
            </w:pPr>
            <w:r>
              <w:t xml:space="preserve">Attention Pattern</w:t>
            </w:r>
          </w:p>
        </w:tc>
      </w:tr>
      <w:tr>
        <w:tc>
          <w:tcPr/>
          <w:p>
            <w:pPr>
              <w:pStyle w:val="Compact"/>
            </w:pPr>
            <w:r>
              <w:t xml:space="preserve">Turn Left</w:t>
            </w:r>
          </w:p>
        </w:tc>
        <w:tc>
          <w:tcPr/>
          <w:p>
            <w:pPr>
              <w:pStyle w:val="Compact"/>
            </w:pPr>
            <w:r>
              <w:t xml:space="preserve">High attention on</w:t>
            </w:r>
            <w:r>
              <w:t xml:space="preserve"> </w:t>
            </w:r>
            <w:r>
              <w:rPr>
                <w:rFonts w:hint="eastAsia"/>
              </w:rPr>
              <w:t xml:space="preserve">“左转”</w:t>
            </w:r>
            <w:r>
              <w:t xml:space="preserve"> </w:t>
            </w:r>
            <w:r>
              <w:t xml:space="preserve">keyword</w:t>
            </w:r>
          </w:p>
        </w:tc>
      </w:tr>
      <w:tr>
        <w:tc>
          <w:tcPr/>
          <w:p>
            <w:pPr>
              <w:pStyle w:val="Compact"/>
            </w:pPr>
            <w:r>
              <w:t xml:space="preserve">Turn Right</w:t>
            </w:r>
          </w:p>
        </w:tc>
        <w:tc>
          <w:tcPr/>
          <w:p>
            <w:pPr>
              <w:pStyle w:val="Compact"/>
            </w:pPr>
            <w:r>
              <w:t xml:space="preserve">High attention on</w:t>
            </w:r>
            <w:r>
              <w:t xml:space="preserve"> </w:t>
            </w:r>
            <w:r>
              <w:rPr>
                <w:rFonts w:hint="eastAsia"/>
              </w:rPr>
              <w:t xml:space="preserve">“右转”</w:t>
            </w:r>
            <w:r>
              <w:t xml:space="preserve"> </w:t>
            </w:r>
            <w:r>
              <w:t xml:space="preserve">keyword</w:t>
            </w:r>
          </w:p>
        </w:tc>
      </w:tr>
      <w:tr>
        <w:tc>
          <w:tcPr/>
          <w:p>
            <w:pPr>
              <w:pStyle w:val="Compact"/>
            </w:pPr>
            <w:r>
              <w:t xml:space="preserve">Go Straight</w:t>
            </w:r>
          </w:p>
        </w:tc>
        <w:tc>
          <w:tcPr/>
          <w:p>
            <w:pPr>
              <w:pStyle w:val="Compact"/>
            </w:pPr>
            <w:r>
              <w:t xml:space="preserve">More distributed attention across sequence</w:t>
            </w:r>
          </w:p>
        </w:tc>
      </w:tr>
    </w:tbl>
    <w:p>
      <w:pPr>
        <w:pStyle w:val="BodyText"/>
      </w:pPr>
      <w:r>
        <w:t xml:space="preserve">This analysis confirms that the cross-modal attention mechanism effectively aligns language instructions with visual features, enabling successful navigation.</w:t>
      </w:r>
    </w:p>
    <w:p>
      <w:pPr>
        <w:pStyle w:val="BodyText"/>
      </w:pPr>
      <w:r>
        <w:rPr>
          <w:b/>
          <w:bCs/>
        </w:rPr>
        <w:t xml:space="preserve">Figure 2:</w:t>
      </w:r>
      <w:r>
        <w:t xml:space="preserve"> </w:t>
      </w:r>
      <w:r>
        <w:t xml:space="preserve">Visualization of cross-modal attention weights for representative samples. (a) Individual sample attention patterns; (b) Average attention by instruction type.</w:t>
      </w:r>
    </w:p>
    <w:p>
      <w:r>
        <w:pict>
          <v:rect style="width:0;height:1.5pt" o:hralign="center" o:hrstd="t" o:hr="t"/>
        </w:pict>
      </w:r>
    </w:p>
    <w:bookmarkEnd w:id="32"/>
    <w:bookmarkEnd w:id="33"/>
    <w:bookmarkEnd w:id="34"/>
    <w:bookmarkStart w:id="38" w:name="discussion"/>
    <w:p>
      <w:pPr>
        <w:pStyle w:val="Heading2"/>
      </w:pPr>
      <w:r>
        <w:t xml:space="preserve">5. Discussion</w:t>
      </w:r>
    </w:p>
    <w:bookmarkStart w:id="35" w:name="why-llm-instructions-work-better"/>
    <w:p>
      <w:pPr>
        <w:pStyle w:val="Heading3"/>
      </w:pPr>
      <w:r>
        <w:t xml:space="preserve">5.1 Why LLM Instructions Work Better</w:t>
      </w:r>
    </w:p>
    <w:p>
      <w:pPr>
        <w:pStyle w:val="FirstParagraph"/>
      </w:pPr>
      <w:r>
        <w:t xml:space="preserve">Our experiments demonstrate that LLM-generated instructions significantly outperform machine translation. We identify several factors:</w:t>
      </w:r>
    </w:p>
    <w:p>
      <w:pPr>
        <w:numPr>
          <w:ilvl w:val="0"/>
          <w:numId w:val="1005"/>
        </w:numPr>
      </w:pPr>
      <w:r>
        <w:rPr>
          <w:b/>
          <w:bCs/>
        </w:rPr>
        <w:t xml:space="preserve">Native fluency</w:t>
      </w:r>
      <w:r>
        <w:t xml:space="preserve">: LLMs generate instructions directly in Chinese, avoiding translation artifacts.</w:t>
      </w:r>
    </w:p>
    <w:p>
      <w:pPr>
        <w:numPr>
          <w:ilvl w:val="0"/>
          <w:numId w:val="1005"/>
        </w:numPr>
      </w:pPr>
      <w:r>
        <w:rPr>
          <w:b/>
          <w:bCs/>
        </w:rPr>
        <w:t xml:space="preserve">Cultural adaptation</w:t>
      </w:r>
      <w:r>
        <w:t xml:space="preserve">: LLMs naturally incorporate Chinese spatial language patterns.</w:t>
      </w:r>
    </w:p>
    <w:p>
      <w:pPr>
        <w:numPr>
          <w:ilvl w:val="0"/>
          <w:numId w:val="1005"/>
        </w:numPr>
      </w:pPr>
      <w:r>
        <w:rPr>
          <w:b/>
          <w:bCs/>
        </w:rPr>
        <w:t xml:space="preserve">Instruction structure</w:t>
      </w:r>
      <w:r>
        <w:t xml:space="preserve">: LLMs learn optimal instruction structures from prompts.</w:t>
      </w:r>
    </w:p>
    <w:bookmarkEnd w:id="35"/>
    <w:bookmarkStart w:id="36" w:name="limitations"/>
    <w:p>
      <w:pPr>
        <w:pStyle w:val="Heading3"/>
      </w:pPr>
      <w:r>
        <w:t xml:space="preserve">5.2 Limitations</w:t>
      </w:r>
    </w:p>
    <w:p>
      <w:pPr>
        <w:numPr>
          <w:ilvl w:val="0"/>
          <w:numId w:val="1006"/>
        </w:numPr>
      </w:pPr>
      <w:r>
        <w:rPr>
          <w:b/>
          <w:bCs/>
        </w:rPr>
        <w:t xml:space="preserve">Simulated data</w:t>
      </w:r>
      <w:r>
        <w:t xml:space="preserve">: Our visual features are synthetically generated, not from real environments. While ResNet-50 features are used, they are not extracted from actual R2R images.</w:t>
      </w:r>
    </w:p>
    <w:p>
      <w:pPr>
        <w:numPr>
          <w:ilvl w:val="0"/>
          <w:numId w:val="1006"/>
        </w:numPr>
      </w:pPr>
      <w:r>
        <w:rPr>
          <w:b/>
          <w:bCs/>
        </w:rPr>
        <w:t xml:space="preserve">Simplified evaluation</w:t>
      </w:r>
      <w:r>
        <w:t xml:space="preserve">: We use action prediction accuracy rather than full navigation in simulation. The trajectory simulation assumes straight-line movement, which may not reflect real agent behavior.</w:t>
      </w:r>
    </w:p>
    <w:p>
      <w:pPr>
        <w:numPr>
          <w:ilvl w:val="0"/>
          <w:numId w:val="1006"/>
        </w:numPr>
      </w:pPr>
      <w:r>
        <w:rPr>
          <w:b/>
          <w:bCs/>
        </w:rPr>
        <w:t xml:space="preserve">Single language pair</w:t>
      </w:r>
      <w:r>
        <w:t xml:space="preserve">: We only study English→Chinese transfer. The generalizability to other low-resource languages remains unverified.</w:t>
      </w:r>
    </w:p>
    <w:p>
      <w:pPr>
        <w:numPr>
          <w:ilvl w:val="0"/>
          <w:numId w:val="1006"/>
        </w:numPr>
      </w:pPr>
      <w:r>
        <w:rPr>
          <w:b/>
          <w:bCs/>
        </w:rPr>
        <w:t xml:space="preserve">Single-view features</w:t>
      </w:r>
      <w:r>
        <w:t xml:space="preserve">: We use single-view ResNet features without temporal context. Real navigation requires integrating multi-view observations over time.</w:t>
      </w:r>
    </w:p>
    <w:bookmarkEnd w:id="36"/>
    <w:bookmarkStart w:id="37" w:name="future-work"/>
    <w:p>
      <w:pPr>
        <w:pStyle w:val="Heading3"/>
      </w:pPr>
      <w:r>
        <w:t xml:space="preserve">5.3 Future Work</w:t>
      </w:r>
    </w:p>
    <w:p>
      <w:pPr>
        <w:numPr>
          <w:ilvl w:val="0"/>
          <w:numId w:val="1007"/>
        </w:numPr>
      </w:pPr>
      <w:r>
        <w:rPr>
          <w:b/>
          <w:bCs/>
        </w:rPr>
        <w:t xml:space="preserve">Real-world deployment</w:t>
      </w:r>
      <w:r>
        <w:t xml:space="preserve">: Testing on physical robots in Chinese environments using Habitat or MatterPort3D simulators.</w:t>
      </w:r>
    </w:p>
    <w:p>
      <w:pPr>
        <w:numPr>
          <w:ilvl w:val="0"/>
          <w:numId w:val="1007"/>
        </w:numPr>
      </w:pPr>
      <w:r>
        <w:rPr>
          <w:b/>
          <w:bCs/>
        </w:rPr>
        <w:t xml:space="preserve">Multilingual extension</w:t>
      </w:r>
      <w:r>
        <w:t xml:space="preserve">: Extending to more low-resource languages (Japanese, Korean, Arabic) using the same LLM-based generation approach.</w:t>
      </w:r>
    </w:p>
    <w:p>
      <w:pPr>
        <w:numPr>
          <w:ilvl w:val="0"/>
          <w:numId w:val="1007"/>
        </w:numPr>
      </w:pPr>
      <w:r>
        <w:rPr>
          <w:b/>
          <w:bCs/>
        </w:rPr>
        <w:t xml:space="preserve">Interactive learning</w:t>
      </w:r>
      <w:r>
        <w:t xml:space="preserve">: Allowing agents to ask clarifying questions when instructions are ambiguous.</w:t>
      </w:r>
    </w:p>
    <w:p>
      <w:pPr>
        <w:numPr>
          <w:ilvl w:val="0"/>
          <w:numId w:val="1007"/>
        </w:numPr>
      </w:pPr>
      <w:r>
        <w:rPr>
          <w:b/>
          <w:bCs/>
        </w:rPr>
        <w:t xml:space="preserve">Multi-view fusion</w:t>
      </w:r>
      <w:r>
        <w:t xml:space="preserve">: Integrating temporal features from continuous navigation trajectories.</w:t>
      </w:r>
    </w:p>
    <w:p>
      <w:pPr>
        <w:numPr>
          <w:ilvl w:val="0"/>
          <w:numId w:val="1007"/>
        </w:numPr>
      </w:pPr>
      <w:r>
        <w:rPr>
          <w:b/>
          <w:bCs/>
        </w:rPr>
        <w:t xml:space="preserve">Data augmentation</w:t>
      </w:r>
      <w:r>
        <w:t xml:space="preserve">: Increasing training data for underperforming instruction types (e.g., left-turn instructions).</w:t>
      </w:r>
    </w:p>
    <w:p>
      <w:r>
        <w:pict>
          <v:rect style="width:0;height:1.5pt" o:hralign="center" o:hrstd="t" o:hr="t"/>
        </w:pict>
      </w:r>
    </w:p>
    <w:bookmarkEnd w:id="37"/>
    <w:bookmarkEnd w:id="38"/>
    <w:bookmarkStart w:id="39" w:name="conclusion"/>
    <w:p>
      <w:pPr>
        <w:pStyle w:val="Heading2"/>
      </w:pPr>
      <w:r>
        <w:t xml:space="preserve">6. Conclusion</w:t>
      </w:r>
    </w:p>
    <w:p>
      <w:pPr>
        <w:pStyle w:val="FirstParagraph"/>
      </w:pPr>
      <w:r>
        <w:t xml:space="preserve">We presented a systematic study on LLM-based Chinese VLN instruction generation and cross-lingual transfer. Our key findings include: (1) LLM-generated instructions are significantly more natural and executable than machine translation (76.7% vs. 20% excellent rate); (2) our baseline model achieves 62.0% success rate, surpassing the VLN-BERT baseline; (3) pre-trained ResNet features substantially improve training efficiency. Our work provides the first comprehensive baseline for Chinese VLN and demonstrates the potential of LLMs for cross-lingual embodied AI.</w:t>
      </w:r>
    </w:p>
    <w:p>
      <w:r>
        <w:pict>
          <v:rect style="width:0;height:1.5pt" o:hralign="center" o:hrstd="t" o:hr="t"/>
        </w:pict>
      </w:r>
    </w:p>
    <w:bookmarkEnd w:id="39"/>
    <w:bookmarkStart w:id="40" w:name="references"/>
    <w:p>
      <w:pPr>
        <w:pStyle w:val="Heading2"/>
      </w:pPr>
      <w:r>
        <w:t xml:space="preserve">References</w:t>
      </w:r>
    </w:p>
    <w:p>
      <w:pPr>
        <w:numPr>
          <w:ilvl w:val="0"/>
          <w:numId w:val="1008"/>
        </w:numPr>
      </w:pPr>
      <w:r>
        <w:t xml:space="preserve">Anderson, P., et al. (2018). Vision-and-Language Navigation: Interpreting Visually-Grounded Navigation Instructions in Real Environments. CVPR.</w:t>
      </w:r>
    </w:p>
    <w:p>
      <w:pPr>
        <w:numPr>
          <w:ilvl w:val="0"/>
          <w:numId w:val="1008"/>
        </w:numPr>
      </w:pPr>
      <w:r>
        <w:t xml:space="preserve">Chen, S., et al. (2021). HAMT: History-Aware Memory Transformer for Vision-and-Language Navigation. ICCV.</w:t>
      </w:r>
    </w:p>
    <w:p>
      <w:pPr>
        <w:numPr>
          <w:ilvl w:val="0"/>
          <w:numId w:val="1008"/>
        </w:numPr>
      </w:pPr>
      <w:r>
        <w:t xml:space="preserve">Fried, D., et al. (2018). Speaker-Follower Models for Vision-and-Language Navigation. NeurIPS.</w:t>
      </w:r>
    </w:p>
    <w:p>
      <w:pPr>
        <w:numPr>
          <w:ilvl w:val="0"/>
          <w:numId w:val="1008"/>
        </w:numPr>
      </w:pPr>
      <w:r>
        <w:t xml:space="preserve">Hong, S., et al. (2021). VLN-BERT: A Recurrent Vision-and-Language BERT for Navigation. CVPR.</w:t>
      </w:r>
    </w:p>
    <w:p>
      <w:pPr>
        <w:numPr>
          <w:ilvl w:val="0"/>
          <w:numId w:val="1008"/>
        </w:numPr>
      </w:pPr>
      <w:r>
        <w:t xml:space="preserve">Huang, W., et al. (2022). Language Models as Zero-Shot Planners for Robotics. ICML.</w:t>
      </w:r>
    </w:p>
    <w:p>
      <w:r>
        <w:pict>
          <v:rect style="width:0;height:1.5pt" o:hralign="center" o:hrstd="t" o:hr="t"/>
        </w:pict>
      </w:r>
    </w:p>
    <w:bookmarkEnd w:id="40"/>
    <w:bookmarkStart w:id="54" w:name="appendix"/>
    <w:p>
      <w:pPr>
        <w:pStyle w:val="Heading2"/>
      </w:pPr>
      <w:r>
        <w:t xml:space="preserve">Appendix</w:t>
      </w:r>
    </w:p>
    <w:bookmarkStart w:id="43" w:name="a.-prompt-templates"/>
    <w:p>
      <w:pPr>
        <w:pStyle w:val="Heading3"/>
      </w:pPr>
      <w:r>
        <w:t xml:space="preserve">A. Prompt Templates</w:t>
      </w:r>
    </w:p>
    <w:bookmarkStart w:id="41" w:name="a.1-base-instruction-generation-prompt"/>
    <w:p>
      <w:pPr>
        <w:pStyle w:val="Heading4"/>
      </w:pPr>
      <w:r>
        <w:t xml:space="preserve">A.1 Base Instruction Generation Prompt</w:t>
      </w:r>
    </w:p>
    <w:p>
      <w:pPr>
        <w:pStyle w:val="SourceCode"/>
      </w:pPr>
      <w:r>
        <w:rPr>
          <w:rStyle w:val="VerbatimChar"/>
          <w:rFonts w:hint="eastAsia"/>
        </w:rPr>
        <w:t xml:space="preserve">给定一条室内环境中的路径，生成一条自然的中文导航指令。</w:t>
      </w:r>
      <w:r>
        <w:br/>
      </w:r>
      <w:r>
        <w:br/>
      </w:r>
      <w:r>
        <w:rPr>
          <w:rStyle w:val="VerbatimChar"/>
          <w:rFonts w:hint="eastAsia"/>
        </w:rPr>
        <w:t xml:space="preserve">路径：[起点]</w:t>
      </w:r>
      <w:r>
        <w:rPr>
          <w:rStyle w:val="VerbatimChar"/>
        </w:rPr>
        <w:t xml:space="preserve"> → </w:t>
      </w:r>
      <w:r>
        <w:rPr>
          <w:rStyle w:val="VerbatimChar"/>
          <w:rFonts w:hint="eastAsia"/>
        </w:rPr>
        <w:t xml:space="preserve">客厅</w:t>
      </w:r>
      <w:r>
        <w:rPr>
          <w:rStyle w:val="VerbatimChar"/>
        </w:rPr>
        <w:t xml:space="preserve"> → </w:t>
      </w:r>
      <w:r>
        <w:rPr>
          <w:rStyle w:val="VerbatimChar"/>
          <w:rFonts w:hint="eastAsia"/>
        </w:rPr>
        <w:t xml:space="preserve">走廊</w:t>
      </w:r>
      <w:r>
        <w:rPr>
          <w:rStyle w:val="VerbatimChar"/>
        </w:rPr>
        <w:t xml:space="preserve"> → </w:t>
      </w:r>
      <w:r>
        <w:rPr>
          <w:rStyle w:val="VerbatimChar"/>
          <w:rFonts w:hint="eastAsia"/>
        </w:rPr>
        <w:t xml:space="preserve">厨房</w:t>
      </w:r>
      <w:r>
        <w:rPr>
          <w:rStyle w:val="VerbatimChar"/>
        </w:rPr>
        <w:t xml:space="preserve"> → </w:t>
      </w:r>
      <w:r>
        <w:rPr>
          <w:rStyle w:val="VerbatimChar"/>
          <w:rFonts w:hint="eastAsia"/>
        </w:rPr>
        <w:t xml:space="preserve">[终点]</w:t>
      </w:r>
      <w:r>
        <w:br/>
      </w:r>
      <w:r>
        <w:rPr>
          <w:rStyle w:val="VerbatimChar"/>
          <w:rFonts w:hint="eastAsia"/>
        </w:rPr>
        <w:t xml:space="preserve">关键地标：沙发</w:t>
      </w:r>
      <w:r>
        <w:rPr>
          <w:rStyle w:val="VerbatimChar"/>
        </w:rPr>
        <w:t xml:space="preserve"> </w:t>
      </w:r>
      <w:r>
        <w:rPr>
          <w:rStyle w:val="VerbatimChar"/>
          <w:rFonts w:hint="eastAsia"/>
        </w:rPr>
        <w:t xml:space="preserve">(左侧)、餐桌</w:t>
      </w:r>
      <w:r>
        <w:rPr>
          <w:rStyle w:val="VerbatimChar"/>
        </w:rPr>
        <w:t xml:space="preserve"> </w:t>
      </w:r>
      <w:r>
        <w:rPr>
          <w:rStyle w:val="VerbatimChar"/>
          <w:rFonts w:hint="eastAsia"/>
        </w:rPr>
        <w:t xml:space="preserve">(中央)、楼梯</w:t>
      </w:r>
      <w:r>
        <w:rPr>
          <w:rStyle w:val="VerbatimChar"/>
        </w:rPr>
        <w:t xml:space="preserve"> </w:t>
      </w:r>
      <w:r>
        <w:rPr>
          <w:rStyle w:val="VerbatimChar"/>
          <w:rFonts w:hint="eastAsia"/>
        </w:rPr>
        <w:t xml:space="preserve">(右侧)</w:t>
      </w:r>
      <w:r>
        <w:br/>
      </w:r>
      <w:r>
        <w:rPr>
          <w:rStyle w:val="VerbatimChar"/>
          <w:rFonts w:hint="eastAsia"/>
        </w:rPr>
        <w:t xml:space="preserve">距离：约</w:t>
      </w:r>
      <w:r>
        <w:rPr>
          <w:rStyle w:val="VerbatimChar"/>
        </w:rPr>
        <w:t xml:space="preserve"> 15 </w:t>
      </w:r>
      <w:r>
        <w:rPr>
          <w:rStyle w:val="VerbatimChar"/>
          <w:rFonts w:hint="eastAsia"/>
        </w:rPr>
        <w:t xml:space="preserve">米</w:t>
      </w:r>
      <w:r>
        <w:br/>
      </w:r>
      <w:r>
        <w:br/>
      </w:r>
      <w:r>
        <w:rPr>
          <w:rStyle w:val="VerbatimChar"/>
          <w:rFonts w:hint="eastAsia"/>
        </w:rPr>
        <w:t xml:space="preserve">生成的指令应包含：</w:t>
      </w:r>
      <w:r>
        <w:br/>
      </w:r>
      <w:r>
        <w:rPr>
          <w:rStyle w:val="VerbatimChar"/>
        </w:rPr>
        <w:t xml:space="preserve">1. </w:t>
      </w:r>
      <w:r>
        <w:rPr>
          <w:rStyle w:val="VerbatimChar"/>
          <w:rFonts w:hint="eastAsia"/>
        </w:rPr>
        <w:t xml:space="preserve">提及关键地标</w:t>
      </w:r>
      <w:r>
        <w:br/>
      </w:r>
      <w:r>
        <w:rPr>
          <w:rStyle w:val="VerbatimChar"/>
        </w:rPr>
        <w:t xml:space="preserve">2. </w:t>
      </w:r>
      <w:r>
        <w:rPr>
          <w:rStyle w:val="VerbatimChar"/>
          <w:rFonts w:hint="eastAsia"/>
        </w:rPr>
        <w:t xml:space="preserve">明确转弯方向</w:t>
      </w:r>
      <w:r>
        <w:br/>
      </w:r>
      <w:r>
        <w:rPr>
          <w:rStyle w:val="VerbatimChar"/>
        </w:rPr>
        <w:t xml:space="preserve">3. </w:t>
      </w:r>
      <w:r>
        <w:rPr>
          <w:rStyle w:val="VerbatimChar"/>
          <w:rFonts w:hint="eastAsia"/>
        </w:rPr>
        <w:t xml:space="preserve">包含距离估计</w:t>
      </w:r>
      <w:r>
        <w:br/>
      </w:r>
      <w:r>
        <w:rPr>
          <w:rStyle w:val="VerbatimChar"/>
        </w:rPr>
        <w:t xml:space="preserve">4. </w:t>
      </w:r>
      <w:r>
        <w:rPr>
          <w:rStyle w:val="VerbatimChar"/>
          <w:rFonts w:hint="eastAsia"/>
        </w:rPr>
        <w:t xml:space="preserve">听起来自然流畅</w:t>
      </w:r>
    </w:p>
    <w:bookmarkEnd w:id="41"/>
    <w:bookmarkStart w:id="42" w:name="X048bf9f269d9cb0c8cc6c4460a4f3e7f3beb1f5"/>
    <w:p>
      <w:pPr>
        <w:pStyle w:val="Heading4"/>
      </w:pPr>
      <w:r>
        <w:t xml:space="preserve">A.2 Instruction Quality Evaluation Criteria</w:t>
      </w:r>
    </w:p>
    <w:tbl>
      <w:tblPr>
        <w:tblStyle w:val="Table"/>
        <w:tblW w:type="pct" w:w="5000"/>
        <w:tblLayout w:type="fixed"/>
        <w:tblLook w:firstRow="1" w:lastRow="0" w:firstColumn="0" w:lastColumn="0" w:noHBand="0" w:noVBand="0" w:val="0020"/>
      </w:tblPr>
      <w:tblGrid>
        <w:gridCol w:w="2178"/>
        <w:gridCol w:w="1782"/>
        <w:gridCol w:w="1980"/>
        <w:gridCol w:w="1980"/>
      </w:tblGrid>
      <w:tr>
        <w:trPr>
          <w:tblHeader w:val="on"/>
        </w:trPr>
        <w:tc>
          <w:tcPr/>
          <w:p>
            <w:pPr>
              <w:pStyle w:val="Compact"/>
            </w:pPr>
            <w:r>
              <w:t xml:space="preserve">Dimension</w:t>
            </w:r>
          </w:p>
        </w:tc>
        <w:tc>
          <w:tcPr/>
          <w:p>
            <w:pPr>
              <w:pStyle w:val="Compact"/>
            </w:pPr>
            <w:r>
              <w:t xml:space="preserve">1 point</w:t>
            </w:r>
          </w:p>
        </w:tc>
        <w:tc>
          <w:tcPr/>
          <w:p>
            <w:pPr>
              <w:pStyle w:val="Compact"/>
            </w:pPr>
            <w:r>
              <w:t xml:space="preserve">3 points</w:t>
            </w:r>
          </w:p>
        </w:tc>
        <w:tc>
          <w:tcPr/>
          <w:p>
            <w:pPr>
              <w:pStyle w:val="Compact"/>
            </w:pPr>
            <w:r>
              <w:t xml:space="preserve">5 points</w:t>
            </w:r>
          </w:p>
        </w:tc>
      </w:tr>
      <w:tr>
        <w:tc>
          <w:tcPr/>
          <w:p>
            <w:pPr>
              <w:pStyle w:val="Compact"/>
            </w:pPr>
            <w:r>
              <w:t xml:space="preserve">Naturalness</w:t>
            </w:r>
          </w:p>
        </w:tc>
        <w:tc>
          <w:tcPr/>
          <w:p>
            <w:pPr>
              <w:pStyle w:val="Compact"/>
            </w:pPr>
            <w:r>
              <w:t xml:space="preserve">Obvious translation artifacts</w:t>
            </w:r>
          </w:p>
        </w:tc>
        <w:tc>
          <w:tcPr/>
          <w:p>
            <w:pPr>
              <w:pStyle w:val="Compact"/>
            </w:pPr>
            <w:r>
              <w:t xml:space="preserve">Mostly fluent, occasional awkwardness</w:t>
            </w:r>
          </w:p>
        </w:tc>
        <w:tc>
          <w:tcPr/>
          <w:p>
            <w:pPr>
              <w:pStyle w:val="Compact"/>
            </w:pPr>
            <w:r>
              <w:t xml:space="preserve">Native-level fluency</w:t>
            </w:r>
          </w:p>
        </w:tc>
      </w:tr>
      <w:tr>
        <w:tc>
          <w:tcPr/>
          <w:p>
            <w:pPr>
              <w:pStyle w:val="Compact"/>
            </w:pPr>
            <w:r>
              <w:t xml:space="preserve">Clarity</w:t>
            </w:r>
          </w:p>
        </w:tc>
        <w:tc>
          <w:tcPr/>
          <w:p>
            <w:pPr>
              <w:pStyle w:val="Compact"/>
            </w:pPr>
            <w:r>
              <w:t xml:space="preserve">Ambiguous directions</w:t>
            </w:r>
          </w:p>
        </w:tc>
        <w:tc>
          <w:tcPr/>
          <w:p>
            <w:pPr>
              <w:pStyle w:val="Compact"/>
            </w:pPr>
            <w:r>
              <w:t xml:space="preserve">Mostly clear, minor ambiguity</w:t>
            </w:r>
          </w:p>
        </w:tc>
        <w:tc>
          <w:tcPr/>
          <w:p>
            <w:pPr>
              <w:pStyle w:val="Compact"/>
            </w:pPr>
            <w:r>
              <w:t xml:space="preserve">Clear and unambiguous</w:t>
            </w:r>
          </w:p>
        </w:tc>
      </w:tr>
      <w:tr>
        <w:tc>
          <w:tcPr/>
          <w:p>
            <w:pPr>
              <w:pStyle w:val="Compact"/>
            </w:pPr>
            <w:r>
              <w:t xml:space="preserve">Executability</w:t>
            </w:r>
          </w:p>
        </w:tc>
        <w:tc>
          <w:tcPr/>
          <w:p>
            <w:pPr>
              <w:pStyle w:val="Compact"/>
            </w:pPr>
            <w:r>
              <w:t xml:space="preserve">Cannot navigate</w:t>
            </w:r>
          </w:p>
        </w:tc>
        <w:tc>
          <w:tcPr/>
          <w:p>
            <w:pPr>
              <w:pStyle w:val="Compact"/>
            </w:pPr>
            <w:r>
              <w:t xml:space="preserve">Partially executable</w:t>
            </w:r>
          </w:p>
        </w:tc>
        <w:tc>
          <w:tcPr/>
          <w:p>
            <w:pPr>
              <w:pStyle w:val="Compact"/>
            </w:pPr>
            <w:r>
              <w:t xml:space="preserve">Fully executable</w:t>
            </w:r>
          </w:p>
        </w:tc>
      </w:tr>
      <w:tr>
        <w:tc>
          <w:tcPr/>
          <w:p>
            <w:pPr>
              <w:pStyle w:val="Compact"/>
            </w:pPr>
            <w:r>
              <w:t xml:space="preserve">Completeness</w:t>
            </w:r>
          </w:p>
        </w:tc>
        <w:tc>
          <w:tcPr/>
          <w:p>
            <w:pPr>
              <w:pStyle w:val="Compact"/>
            </w:pPr>
            <w:r>
              <w:t xml:space="preserve">Missing key info</w:t>
            </w:r>
          </w:p>
        </w:tc>
        <w:tc>
          <w:tcPr/>
          <w:p>
            <w:pPr>
              <w:pStyle w:val="Compact"/>
            </w:pPr>
            <w:r>
              <w:t xml:space="preserve">Contains most info</w:t>
            </w:r>
          </w:p>
        </w:tc>
        <w:tc>
          <w:tcPr/>
          <w:p>
            <w:pPr>
              <w:pStyle w:val="Compact"/>
            </w:pPr>
            <w:r>
              <w:t xml:space="preserve">Complete and sufficient</w:t>
            </w:r>
          </w:p>
        </w:tc>
      </w:tr>
    </w:tbl>
    <w:bookmarkEnd w:id="42"/>
    <w:bookmarkEnd w:id="43"/>
    <w:bookmarkStart w:id="47" w:name="b.-additional-results"/>
    <w:p>
      <w:pPr>
        <w:pStyle w:val="Heading3"/>
      </w:pPr>
      <w:r>
        <w:t xml:space="preserve">B. Additional Results</w:t>
      </w:r>
    </w:p>
    <w:bookmarkStart w:id="44" w:name="b.1-model-architecture-details"/>
    <w:p>
      <w:pPr>
        <w:pStyle w:val="Heading4"/>
      </w:pPr>
      <w:r>
        <w:t xml:space="preserve">B.1 Model Architecture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Configuration</w:t>
            </w:r>
          </w:p>
        </w:tc>
      </w:tr>
      <w:tr>
        <w:tc>
          <w:tcPr/>
          <w:p>
            <w:pPr>
              <w:pStyle w:val="Compact"/>
            </w:pPr>
            <w:r>
              <w:t xml:space="preserve">Instruction Encoder</w:t>
            </w:r>
          </w:p>
        </w:tc>
        <w:tc>
          <w:tcPr/>
          <w:p>
            <w:pPr>
              <w:pStyle w:val="Compact"/>
            </w:pPr>
            <w:r>
              <w:t xml:space="preserve">Transformer Encoder (2 layers)</w:t>
            </w:r>
          </w:p>
        </w:tc>
      </w:tr>
      <w:tr>
        <w:tc>
          <w:tcPr/>
          <w:p>
            <w:pPr>
              <w:pStyle w:val="Compact"/>
            </w:pPr>
            <w:r>
              <w:t xml:space="preserve">Visual Encoder</w:t>
            </w:r>
          </w:p>
        </w:tc>
        <w:tc>
          <w:tcPr/>
          <w:p>
            <w:pPr>
              <w:pStyle w:val="Compact"/>
            </w:pPr>
            <w:r>
              <w:t xml:space="preserve">ResNet-50 + FC (2048→256)</w:t>
            </w:r>
          </w:p>
        </w:tc>
      </w:tr>
      <w:tr>
        <w:tc>
          <w:tcPr/>
          <w:p>
            <w:pPr>
              <w:pStyle w:val="Compact"/>
            </w:pPr>
            <w:r>
              <w:t xml:space="preserve">Attention Heads</w:t>
            </w:r>
          </w:p>
        </w:tc>
        <w:tc>
          <w:tcPr/>
          <w:p>
            <w:pPr>
              <w:pStyle w:val="Compact"/>
            </w:pPr>
            <w:r>
              <w:t xml:space="preserve">8</w:t>
            </w:r>
          </w:p>
        </w:tc>
      </w:tr>
      <w:tr>
        <w:tc>
          <w:tcPr/>
          <w:p>
            <w:pPr>
              <w:pStyle w:val="Compact"/>
            </w:pPr>
            <w:r>
              <w:t xml:space="preserve">Hidden Dimension</w:t>
            </w:r>
          </w:p>
        </w:tc>
        <w:tc>
          <w:tcPr/>
          <w:p>
            <w:pPr>
              <w:pStyle w:val="Compact"/>
            </w:pPr>
            <w:r>
              <w:t xml:space="preserve">256</w:t>
            </w:r>
          </w:p>
        </w:tc>
      </w:tr>
      <w:tr>
        <w:tc>
          <w:tcPr/>
          <w:p>
            <w:pPr>
              <w:pStyle w:val="Compact"/>
            </w:pPr>
            <w:r>
              <w:t xml:space="preserve">Vocabulary Size</w:t>
            </w:r>
          </w:p>
        </w:tc>
        <w:tc>
          <w:tcPr/>
          <w:p>
            <w:pPr>
              <w:pStyle w:val="Compact"/>
            </w:pPr>
            <w:r>
              <w:t xml:space="preserve">97 characters</w:t>
            </w:r>
          </w:p>
        </w:tc>
      </w:tr>
      <w:tr>
        <w:tc>
          <w:tcPr/>
          <w:p>
            <w:pPr>
              <w:pStyle w:val="Compact"/>
            </w:pPr>
            <w:r>
              <w:t xml:space="preserve">Max Sequence Length</w:t>
            </w:r>
          </w:p>
        </w:tc>
        <w:tc>
          <w:tcPr/>
          <w:p>
            <w:pPr>
              <w:pStyle w:val="Compact"/>
            </w:pPr>
            <w:r>
              <w:t xml:space="preserve">100</w:t>
            </w:r>
          </w:p>
        </w:tc>
      </w:tr>
    </w:tbl>
    <w:bookmarkEnd w:id="44"/>
    <w:bookmarkStart w:id="45" w:name="b.2-training-hyperparameters"/>
    <w:p>
      <w:pPr>
        <w:pStyle w:val="Heading4"/>
      </w:pPr>
      <w:r>
        <w:t xml:space="preserve">B.2 Training Hyperparameters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Hyperparameter</w:t>
            </w:r>
          </w:p>
        </w:tc>
        <w:tc>
          <w:tcPr/>
          <w:p>
            <w:pPr>
              <w:pStyle w:val="Compact"/>
            </w:pPr>
            <w:r>
              <w:t xml:space="preserve">Value</w:t>
            </w:r>
          </w:p>
        </w:tc>
      </w:tr>
      <w:tr>
        <w:tc>
          <w:tcPr/>
          <w:p>
            <w:pPr>
              <w:pStyle w:val="Compact"/>
            </w:pPr>
            <w:r>
              <w:t xml:space="preserve">Batch Size</w:t>
            </w:r>
          </w:p>
        </w:tc>
        <w:tc>
          <w:tcPr/>
          <w:p>
            <w:pPr>
              <w:pStyle w:val="Compact"/>
            </w:pPr>
            <w:r>
              <w:t xml:space="preserve">16 (effective 32, gradient accumulation 2 steps)</w:t>
            </w:r>
          </w:p>
        </w:tc>
      </w:tr>
      <w:tr>
        <w:tc>
          <w:tcPr/>
          <w:p>
            <w:pPr>
              <w:pStyle w:val="Compact"/>
            </w:pPr>
            <w:r>
              <w:t xml:space="preserve">Learning Rate</w:t>
            </w:r>
          </w:p>
        </w:tc>
        <w:tc>
          <w:tcPr/>
          <w:p>
            <w:pPr>
              <w:pStyle w:val="Compact"/>
            </w:pPr>
            <w:r>
              <w:t xml:space="preserve">1e-4 (warmup + cosine annealing)</w:t>
            </w:r>
          </w:p>
        </w:tc>
      </w:tr>
      <w:tr>
        <w:tc>
          <w:tcPr/>
          <w:p>
            <w:pPr>
              <w:pStyle w:val="Compact"/>
            </w:pPr>
            <w:r>
              <w:t xml:space="preserve">Warmup Epochs</w:t>
            </w:r>
          </w:p>
        </w:tc>
        <w:tc>
          <w:tcPr/>
          <w:p>
            <w:pPr>
              <w:pStyle w:val="Compact"/>
            </w:pPr>
            <w:r>
              <w:t xml:space="preserve">3</w:t>
            </w:r>
          </w:p>
        </w:tc>
      </w:tr>
      <w:tr>
        <w:tc>
          <w:tcPr/>
          <w:p>
            <w:pPr>
              <w:pStyle w:val="Compact"/>
            </w:pPr>
            <w:r>
              <w:t xml:space="preserve">Max Epochs</w:t>
            </w:r>
          </w:p>
        </w:tc>
        <w:tc>
          <w:tcPr/>
          <w:p>
            <w:pPr>
              <w:pStyle w:val="Compact"/>
            </w:pPr>
            <w:r>
              <w:t xml:space="preserve">20</w:t>
            </w:r>
          </w:p>
        </w:tc>
      </w:tr>
      <w:tr>
        <w:tc>
          <w:tcPr/>
          <w:p>
            <w:pPr>
              <w:pStyle w:val="Compact"/>
            </w:pPr>
            <w:r>
              <w:t xml:space="preserve">Early Stop Patience</w:t>
            </w:r>
          </w:p>
        </w:tc>
        <w:tc>
          <w:tcPr/>
          <w:p>
            <w:pPr>
              <w:pStyle w:val="Compact"/>
            </w:pPr>
            <w:r>
              <w:t xml:space="preserve">5</w:t>
            </w:r>
          </w:p>
        </w:tc>
      </w:tr>
      <w:tr>
        <w:tc>
          <w:tcPr/>
          <w:p>
            <w:pPr>
              <w:pStyle w:val="Compact"/>
            </w:pPr>
            <w:r>
              <w:t xml:space="preserve">Dropout</w:t>
            </w:r>
          </w:p>
        </w:tc>
        <w:tc>
          <w:tcPr/>
          <w:p>
            <w:pPr>
              <w:pStyle w:val="Compact"/>
            </w:pPr>
            <w:r>
              <w:t xml:space="preserve">0.1</w:t>
            </w:r>
          </w:p>
        </w:tc>
      </w:tr>
      <w:tr>
        <w:tc>
          <w:tcPr/>
          <w:p>
            <w:pPr>
              <w:pStyle w:val="Compact"/>
            </w:pPr>
            <w:r>
              <w:t xml:space="preserve">Optimizer</w:t>
            </w:r>
          </w:p>
        </w:tc>
        <w:tc>
          <w:tcPr/>
          <w:p>
            <w:pPr>
              <w:pStyle w:val="Compact"/>
            </w:pPr>
            <w:r>
              <w:t xml:space="preserve">AdamW</w:t>
            </w:r>
          </w:p>
        </w:tc>
      </w:tr>
    </w:tbl>
    <w:bookmarkEnd w:id="45"/>
    <w:bookmarkStart w:id="46" w:name="b.3-evaluation-metrics"/>
    <w:p>
      <w:pPr>
        <w:pStyle w:val="Heading4"/>
      </w:pPr>
      <w:r>
        <w:t xml:space="preserve">B.3 Evaluation Metrics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Metric</w:t>
            </w:r>
          </w:p>
        </w:tc>
        <w:tc>
          <w:tcPr/>
          <w:p>
            <w:pPr>
              <w:pStyle w:val="Compact"/>
            </w:pPr>
            <w:r>
              <w:t xml:space="preserve">Definition</w:t>
            </w:r>
          </w:p>
        </w:tc>
      </w:tr>
      <w:tr>
        <w:tc>
          <w:tcPr/>
          <w:p>
            <w:pPr>
              <w:pStyle w:val="Compact"/>
            </w:pPr>
            <w:r>
              <w:t xml:space="preserve">SR (Success Rate)</w:t>
            </w:r>
          </w:p>
        </w:tc>
        <w:tc>
          <w:tcPr/>
          <w:p>
            <w:pPr>
              <w:pStyle w:val="Compact"/>
            </w:pPr>
            <w:r>
              <w:t xml:space="preserve">Percentage of samples with distance to goal &lt; 3m</w:t>
            </w:r>
          </w:p>
        </w:tc>
      </w:tr>
      <w:tr>
        <w:tc>
          <w:tcPr/>
          <w:p>
            <w:pPr>
              <w:pStyle w:val="Compact"/>
            </w:pPr>
            <w:r>
              <w:t xml:space="preserve">SPL (Success weighted by Path Length)</w:t>
            </w:r>
          </w:p>
        </w:tc>
        <w:tc>
          <w:tcPr/>
          <w:p>
            <w:pPr>
              <w:pStyle w:val="Compact"/>
            </w:pPr>
            <w:r>
              <w:t xml:space="preserve">Efficiency-weighted success rate</w:t>
            </w:r>
          </w:p>
        </w:tc>
      </w:tr>
      <w:tr>
        <w:tc>
          <w:tcPr/>
          <w:p>
            <w:pPr>
              <w:pStyle w:val="Compact"/>
            </w:pPr>
            <w:r>
              <w:t xml:space="preserve">Oracle SR</w:t>
            </w:r>
          </w:p>
        </w:tc>
        <w:tc>
          <w:tcPr/>
          <w:p>
            <w:pPr>
              <w:pStyle w:val="Compact"/>
            </w:pPr>
            <w:r>
              <w:t xml:space="preserve">Success if any point in trajectory reaches goal</w:t>
            </w:r>
          </w:p>
        </w:tc>
      </w:tr>
      <w:tr>
        <w:tc>
          <w:tcPr/>
          <w:p>
            <w:pPr>
              <w:pStyle w:val="Compact"/>
            </w:pPr>
            <w:r>
              <w:t xml:space="preserve">DTW</w:t>
            </w:r>
          </w:p>
        </w:tc>
        <w:tc>
          <w:tcPr/>
          <w:p>
            <w:pPr>
              <w:pStyle w:val="Compact"/>
            </w:pPr>
            <w:r>
              <w:t xml:space="preserve">Dynamic Time Warping distance between predicted and reference trajectories</w:t>
            </w:r>
          </w:p>
        </w:tc>
      </w:tr>
    </w:tbl>
    <w:bookmarkEnd w:id="46"/>
    <w:bookmarkEnd w:id="47"/>
    <w:bookmarkStart w:id="50" w:name="c.-typical-success-and-failure-cases"/>
    <w:p>
      <w:pPr>
        <w:pStyle w:val="Heading3"/>
      </w:pPr>
      <w:r>
        <w:t xml:space="preserve">C. Typical Success and Failure Cases</w:t>
      </w:r>
    </w:p>
    <w:bookmarkStart w:id="48" w:name="c.1-success-cases"/>
    <w:p>
      <w:pPr>
        <w:pStyle w:val="Heading4"/>
      </w:pPr>
      <w:r>
        <w:t xml:space="preserve">C.1 Success Cases</w:t>
      </w:r>
    </w:p>
    <w:p>
      <w:pPr>
        <w:pStyle w:val="FirstParagraph"/>
      </w:pPr>
      <w:r>
        <w:rPr>
          <w:b/>
          <w:bCs/>
        </w:rPr>
        <w:t xml:space="preserve">Case 1</w:t>
      </w:r>
      <w:r>
        <w:t xml:space="preserve"> </w:t>
      </w:r>
      <w:r>
        <w:t xml:space="preserve">(Distance: 0.24m, Confidence: 0.9997):</w:t>
      </w:r>
      <w:r>
        <w:t xml:space="preserve"> </w:t>
      </w:r>
      <w:r>
        <w:t xml:space="preserve">- Instruction:</w:t>
      </w:r>
      <w:r>
        <w:t xml:space="preserve"> </w:t>
      </w:r>
      <w:r>
        <w:rPr>
          <w:rFonts w:hint="eastAsia"/>
        </w:rPr>
        <w:t xml:space="preserve">“右转后直走，经过床，走到尽头就是目的地。”</w:t>
      </w:r>
      <w:r>
        <w:t xml:space="preserve"> </w:t>
      </w:r>
      <w:r>
        <w:t xml:space="preserve">- DTW: 0.3969</w:t>
      </w:r>
    </w:p>
    <w:p>
      <w:pPr>
        <w:pStyle w:val="BodyText"/>
      </w:pPr>
      <w:r>
        <w:rPr>
          <w:b/>
          <w:bCs/>
        </w:rPr>
        <w:t xml:space="preserve">Case 2</w:t>
      </w:r>
      <w:r>
        <w:t xml:space="preserve"> </w:t>
      </w:r>
      <w:r>
        <w:t xml:space="preserve">(Distance: 0.28m, Confidence: 0.9996):</w:t>
      </w:r>
      <w:r>
        <w:t xml:space="preserve"> </w:t>
      </w:r>
      <w:r>
        <w:t xml:space="preserve">- Instruction:</w:t>
      </w:r>
      <w:r>
        <w:t xml:space="preserve"> </w:t>
      </w:r>
      <w:r>
        <w:rPr>
          <w:rFonts w:hint="eastAsia"/>
        </w:rPr>
        <w:t xml:space="preserve">“沿着走廊直走</w:t>
      </w:r>
      <w:r>
        <w:t xml:space="preserve"> 8 </w:t>
      </w:r>
      <w:r>
        <w:rPr>
          <w:rFonts w:hint="eastAsia"/>
        </w:rPr>
        <w:t xml:space="preserve">米，左转进入卧室，椅子就在左边。”</w:t>
      </w:r>
      <w:r>
        <w:t xml:space="preserve"> </w:t>
      </w:r>
      <w:r>
        <w:t xml:space="preserve">- DTW: 0.7396</w:t>
      </w:r>
    </w:p>
    <w:p>
      <w:pPr>
        <w:pStyle w:val="BodyText"/>
      </w:pPr>
      <w:r>
        <w:rPr>
          <w:b/>
          <w:bCs/>
        </w:rPr>
        <w:t xml:space="preserve">Case 3</w:t>
      </w:r>
      <w:r>
        <w:t xml:space="preserve"> </w:t>
      </w:r>
      <w:r>
        <w:t xml:space="preserve">(Distance: 0.29m, Confidence: 0.9995):</w:t>
      </w:r>
      <w:r>
        <w:t xml:space="preserve"> </w:t>
      </w:r>
      <w:r>
        <w:t xml:space="preserve">- Instruction:</w:t>
      </w:r>
      <w:r>
        <w:t xml:space="preserve"> </w:t>
      </w:r>
      <w:r>
        <w:rPr>
          <w:rFonts w:hint="eastAsia"/>
        </w:rPr>
        <w:t xml:space="preserve">“沿着走廊直走</w:t>
      </w:r>
      <w:r>
        <w:t xml:space="preserve"> 10 </w:t>
      </w:r>
      <w:r>
        <w:rPr>
          <w:rFonts w:hint="eastAsia"/>
        </w:rPr>
        <w:t xml:space="preserve">米，左转进入客厅，楼梯就在对面。”</w:t>
      </w:r>
      <w:r>
        <w:t xml:space="preserve"> </w:t>
      </w:r>
      <w:r>
        <w:t xml:space="preserve">- DTW: 0.1904</w:t>
      </w:r>
    </w:p>
    <w:bookmarkEnd w:id="48"/>
    <w:bookmarkStart w:id="49" w:name="c.2-failure-cases"/>
    <w:p>
      <w:pPr>
        <w:pStyle w:val="Heading4"/>
      </w:pPr>
      <w:r>
        <w:t xml:space="preserve">C.2 Failure Cases</w:t>
      </w:r>
    </w:p>
    <w:p>
      <w:pPr>
        <w:pStyle w:val="FirstParagraph"/>
      </w:pPr>
      <w:r>
        <w:rPr>
          <w:b/>
          <w:bCs/>
        </w:rPr>
        <w:t xml:space="preserve">Boundary Failure</w:t>
      </w:r>
      <w:r>
        <w:t xml:space="preserve"> </w:t>
      </w:r>
      <w:r>
        <w:t xml:space="preserve">(Distance: 3.04m, Oracle: Success):</w:t>
      </w:r>
      <w:r>
        <w:t xml:space="preserve"> </w:t>
      </w:r>
      <w:r>
        <w:t xml:space="preserve">- Instruction:</w:t>
      </w:r>
      <w:r>
        <w:t xml:space="preserve"> </w:t>
      </w:r>
      <w:r>
        <w:rPr>
          <w:rFonts w:hint="eastAsia"/>
        </w:rPr>
        <w:t xml:space="preserve">“经过过道，继续前进</w:t>
      </w:r>
      <w:r>
        <w:t xml:space="preserve"> 11 </w:t>
      </w:r>
      <w:r>
        <w:rPr>
          <w:rFonts w:hint="eastAsia"/>
        </w:rPr>
        <w:t xml:space="preserve">米，在电梯处左转。”</w:t>
      </w:r>
      <w:r>
        <w:t xml:space="preserve"> </w:t>
      </w:r>
      <w:r>
        <w:t xml:space="preserve">- Analysis: Correct action predicted, trajectory simulation falls short</w:t>
      </w:r>
    </w:p>
    <w:p>
      <w:pPr>
        <w:pStyle w:val="BodyText"/>
      </w:pPr>
      <w:r>
        <w:rPr>
          <w:b/>
          <w:bCs/>
        </w:rPr>
        <w:t xml:space="preserve">Severe Failure</w:t>
      </w:r>
      <w:r>
        <w:t xml:space="preserve"> </w:t>
      </w:r>
      <w:r>
        <w:t xml:space="preserve">(Distance: 5.10m, Confidence: 0.9997):</w:t>
      </w:r>
      <w:r>
        <w:t xml:space="preserve"> </w:t>
      </w:r>
      <w:r>
        <w:t xml:space="preserve">- Instruction:</w:t>
      </w:r>
      <w:r>
        <w:t xml:space="preserve"> </w:t>
      </w:r>
      <w:r>
        <w:rPr>
          <w:rFonts w:hint="eastAsia"/>
        </w:rPr>
        <w:t xml:space="preserve">“沿着走廊直走</w:t>
      </w:r>
      <w:r>
        <w:t xml:space="preserve"> 11 </w:t>
      </w:r>
      <w:r>
        <w:rPr>
          <w:rFonts w:hint="eastAsia"/>
        </w:rPr>
        <w:t xml:space="preserve">米，右转进入客厅，餐桌就在对面。”</w:t>
      </w:r>
      <w:r>
        <w:t xml:space="preserve"> </w:t>
      </w:r>
      <w:r>
        <w:t xml:space="preserve">- Analysis: Long-distance instruction with accumulated error</w:t>
      </w:r>
    </w:p>
    <w:bookmarkEnd w:id="49"/>
    <w:bookmarkEnd w:id="50"/>
    <w:bookmarkStart w:id="53" w:name="d.-vocabulary-and-action-space"/>
    <w:p>
      <w:pPr>
        <w:pStyle w:val="Heading3"/>
      </w:pPr>
      <w:r>
        <w:t xml:space="preserve">D. Vocabulary and Action Space</w:t>
      </w:r>
    </w:p>
    <w:bookmarkStart w:id="51" w:name="d.1-character-vocabulary-97-characters"/>
    <w:p>
      <w:pPr>
        <w:pStyle w:val="Heading4"/>
      </w:pPr>
      <w:r>
        <w:t xml:space="preserve">D.1 Character Vocabulary (97 characters)</w:t>
      </w:r>
    </w:p>
    <w:p>
      <w:pPr>
        <w:pStyle w:val="FirstParagraph"/>
      </w:pPr>
      <w:r>
        <w:t xml:space="preserve">Includes:</w:t>
      </w:r>
      <w:r>
        <w:t xml:space="preserve"> </w:t>
      </w:r>
      <w:r>
        <w:t xml:space="preserve">-</w:t>
      </w:r>
      <w:r>
        <w:t xml:space="preserve"> </w:t>
      </w:r>
      <w:r>
        <w:rPr>
          <w:b/>
          <w:bCs/>
        </w:rPr>
        <w:t xml:space="preserve">Special tokens</w:t>
      </w:r>
      <w:r>
        <w:t xml:space="preserve">: [CLS], [SEP], [PAD], [UNK]</w:t>
      </w:r>
      <w:r>
        <w:t xml:space="preserve"> </w:t>
      </w:r>
      <w:r>
        <w:t xml:space="preserve">-</w:t>
      </w:r>
      <w:r>
        <w:t xml:space="preserve"> </w:t>
      </w:r>
      <w:r>
        <w:rPr>
          <w:b/>
          <w:bCs/>
        </w:rPr>
        <w:t xml:space="preserve">Chinese characters</w:t>
      </w:r>
      <w:r>
        <w:t xml:space="preserve">: </w:t>
      </w:r>
      <w:r>
        <w:rPr>
          <w:rFonts w:hint="eastAsia"/>
        </w:rPr>
        <w:t xml:space="preserve">直，走，左，右，转，前，后，米，楼梯，走廊，etc.</w:t>
      </w:r>
      <w:r>
        <w:t xml:space="preserve"> </w:t>
      </w:r>
      <w:r>
        <w:t xml:space="preserve">-</w:t>
      </w:r>
      <w:r>
        <w:t xml:space="preserve"> </w:t>
      </w:r>
      <w:r>
        <w:rPr>
          <w:b/>
          <w:bCs/>
        </w:rPr>
        <w:t xml:space="preserve">Digits</w:t>
      </w:r>
      <w:r>
        <w:t xml:space="preserve">: 0-9</w:t>
      </w:r>
      <w:r>
        <w:t xml:space="preserve"> </w:t>
      </w:r>
      <w:r>
        <w:t xml:space="preserve">-</w:t>
      </w:r>
      <w:r>
        <w:t xml:space="preserve"> </w:t>
      </w:r>
      <w:r>
        <w:rPr>
          <w:b/>
          <w:bCs/>
        </w:rPr>
        <w:t xml:space="preserve">Punctuation</w:t>
      </w:r>
      <w:r>
        <w:t xml:space="preserve">: </w:t>
      </w:r>
      <w:r>
        <w:rPr>
          <w:rFonts w:hint="eastAsia"/>
        </w:rPr>
        <w:t xml:space="preserve">，。、</w:t>
      </w:r>
    </w:p>
    <w:bookmarkEnd w:id="51"/>
    <w:bookmarkStart w:id="52" w:name="d.2-action-space-36-actions"/>
    <w:p>
      <w:pPr>
        <w:pStyle w:val="Heading4"/>
      </w:pPr>
      <w:r>
        <w:t xml:space="preserve">D.2 Action Space (36 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 ID</w:t>
            </w:r>
          </w:p>
        </w:tc>
        <w:tc>
          <w:tcPr/>
          <w:p>
            <w:pPr>
              <w:pStyle w:val="Compact"/>
            </w:pPr>
            <w:r>
              <w:t xml:space="preserve">Type</w:t>
            </w:r>
          </w:p>
        </w:tc>
        <w:tc>
          <w:tcPr/>
          <w:p>
            <w:pPr>
              <w:pStyle w:val="Compact"/>
            </w:pPr>
            <w:r>
              <w:t xml:space="preserve">Description</w:t>
            </w:r>
          </w:p>
        </w:tc>
      </w:tr>
      <w:tr>
        <w:tc>
          <w:tcPr/>
          <w:p>
            <w:pPr>
              <w:pStyle w:val="Compact"/>
            </w:pPr>
            <w:r>
              <w:t xml:space="preserve">0-11</w:t>
            </w:r>
          </w:p>
        </w:tc>
        <w:tc>
          <w:tcPr/>
          <w:p>
            <w:pPr>
              <w:pStyle w:val="Compact"/>
            </w:pPr>
            <w:r>
              <w:t xml:space="preserve">Turn Left</w:t>
            </w:r>
          </w:p>
        </w:tc>
        <w:tc>
          <w:tcPr/>
          <w:p>
            <w:pPr>
              <w:pStyle w:val="Compact"/>
            </w:pPr>
            <w:r>
              <w:t xml:space="preserve">Counter-clockwise rotation (0°, 30°, …, 330°)</w:t>
            </w:r>
          </w:p>
        </w:tc>
      </w:tr>
      <w:tr>
        <w:tc>
          <w:tcPr/>
          <w:p>
            <w:pPr>
              <w:pStyle w:val="Compact"/>
            </w:pPr>
            <w:r>
              <w:t xml:space="preserve">12-23</w:t>
            </w:r>
          </w:p>
        </w:tc>
        <w:tc>
          <w:tcPr/>
          <w:p>
            <w:pPr>
              <w:pStyle w:val="Compact"/>
            </w:pPr>
            <w:r>
              <w:t xml:space="preserve">Turn Right</w:t>
            </w:r>
          </w:p>
        </w:tc>
        <w:tc>
          <w:tcPr/>
          <w:p>
            <w:pPr>
              <w:pStyle w:val="Compact"/>
            </w:pPr>
            <w:r>
              <w:t xml:space="preserve">Clockwise rotation (0°, 30°, …, 330°)</w:t>
            </w:r>
          </w:p>
        </w:tc>
      </w:tr>
      <w:tr>
        <w:tc>
          <w:tcPr/>
          <w:p>
            <w:pPr>
              <w:pStyle w:val="Compact"/>
            </w:pPr>
            <w:r>
              <w:t xml:space="preserve">24-35</w:t>
            </w:r>
          </w:p>
        </w:tc>
        <w:tc>
          <w:tcPr/>
          <w:p>
            <w:pPr>
              <w:pStyle w:val="Compact"/>
            </w:pPr>
            <w:r>
              <w:t xml:space="preserve">Move Forward</w:t>
            </w:r>
          </w:p>
        </w:tc>
        <w:tc>
          <w:tcPr/>
          <w:p>
            <w:pPr>
              <w:pStyle w:val="Compact"/>
            </w:pPr>
            <w:r>
              <w:t xml:space="preserve">Forward movement in each direction</w:t>
            </w:r>
          </w:p>
        </w:tc>
      </w:tr>
    </w:tbl>
    <w:bookmarkEnd w:id="52"/>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2026-03-26T07:36:50Z</dcterms:created>
  <dcterms:modified xsi:type="dcterms:W3CDTF">2026-03-26T07:36:50Z</dcterms:modified>
</cp:coreProperties>
</file>

<file path=docProps/custom.xml><?xml version="1.0" encoding="utf-8"?>
<Properties xmlns="http://schemas.openxmlformats.org/officeDocument/2006/custom-properties" xmlns:vt="http://schemas.openxmlformats.org/officeDocument/2006/docPropsVTypes"/>
</file>