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6C1F0">
      <w:pPr>
        <w:keepNext w:val="0"/>
        <w:keepLines w:val="0"/>
        <w:widowControl/>
        <w:suppressLineNumbers w:val="0"/>
        <w:jc w:val="both"/>
        <w:rPr>
          <w:rFonts w:hint="eastAsia" w:ascii="微软雅黑" w:hAnsi="微软雅黑" w:eastAsia="微软雅黑" w:cs="微软雅黑"/>
          <w:b/>
          <w:bCs/>
          <w:kern w:val="0"/>
          <w:sz w:val="52"/>
          <w:szCs w:val="52"/>
          <w:lang w:val="en-US" w:eastAsia="zh-CN" w:bidi="ar"/>
        </w:rPr>
      </w:pPr>
      <w:r>
        <w:rPr>
          <w:rFonts w:hint="eastAsia" w:ascii="微软雅黑" w:hAnsi="微软雅黑" w:eastAsia="微软雅黑" w:cs="微软雅黑"/>
          <w:b/>
          <w:bCs/>
          <w:kern w:val="0"/>
          <w:sz w:val="52"/>
          <w:szCs w:val="52"/>
          <w:lang w:val="en-US" w:eastAsia="zh-CN" w:bidi="ar"/>
        </w:rPr>
        <w:t>论文纠错智能Agent产品需求文档</w:t>
      </w:r>
    </w:p>
    <w:p w14:paraId="56188DFC">
      <w:pPr>
        <w:pStyle w:val="2"/>
        <w:keepNext w:val="0"/>
        <w:keepLines w:val="0"/>
        <w:widowControl/>
        <w:suppressLineNumbers w:val="0"/>
        <w:jc w:val="left"/>
        <w:rPr>
          <w:rFonts w:hint="eastAsia" w:ascii="微软雅黑" w:hAnsi="微软雅黑" w:eastAsia="微软雅黑" w:cs="微软雅黑"/>
          <w:sz w:val="40"/>
          <w:szCs w:val="40"/>
        </w:rPr>
      </w:pPr>
      <w:r>
        <w:rPr>
          <w:rFonts w:hint="eastAsia" w:ascii="微软雅黑" w:hAnsi="微软雅黑" w:eastAsia="微软雅黑" w:cs="微软雅黑"/>
          <w:sz w:val="40"/>
          <w:szCs w:val="40"/>
        </w:rPr>
        <w:t>1. 产品概述</w:t>
      </w:r>
    </w:p>
    <w:p w14:paraId="6E54CD1A">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1.1 产品简介</w:t>
      </w:r>
    </w:p>
    <w:p w14:paraId="06F0C2D3">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论文纠错智能Agent是一款面向全学段学术写作人群的一站式智能校对辅助产品。产品依托大模型算法能力与专业化学术知识库，聚焦论文写作全流程痛点，集成</w:t>
      </w:r>
      <w:r>
        <w:rPr>
          <w:rStyle w:val="7"/>
          <w:rFonts w:hint="eastAsia" w:ascii="微软雅黑" w:hAnsi="微软雅黑" w:eastAsia="微软雅黑" w:cs="微软雅黑"/>
          <w:kern w:val="0"/>
          <w:sz w:val="22"/>
          <w:szCs w:val="22"/>
          <w:lang w:val="en-US" w:eastAsia="zh-CN" w:bidi="ar"/>
        </w:rPr>
        <w:t>格式规范校验、全维度内容纠错、专业学术润色、学术合规自查</w:t>
      </w:r>
      <w:r>
        <w:rPr>
          <w:rFonts w:hint="eastAsia" w:ascii="微软雅黑" w:hAnsi="微软雅黑" w:eastAsia="微软雅黑" w:cs="微软雅黑"/>
          <w:kern w:val="0"/>
          <w:sz w:val="22"/>
          <w:szCs w:val="22"/>
          <w:lang w:val="en-US" w:eastAsia="zh-CN" w:bidi="ar"/>
        </w:rPr>
        <w:t>四大核心能力，实现学术论文从初稿撰写到预审提交的全流程智能化优化。</w:t>
      </w:r>
    </w:p>
    <w:p w14:paraId="24BC7079">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1.2 产品定位</w:t>
      </w:r>
    </w:p>
    <w:p w14:paraId="4941359F">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本产品定位为</w:t>
      </w:r>
      <w:r>
        <w:rPr>
          <w:rStyle w:val="7"/>
          <w:rFonts w:hint="eastAsia" w:ascii="微软雅黑" w:hAnsi="微软雅黑" w:eastAsia="微软雅黑" w:cs="微软雅黑"/>
          <w:kern w:val="0"/>
          <w:sz w:val="22"/>
          <w:szCs w:val="22"/>
          <w:lang w:val="en-US" w:eastAsia="zh-CN" w:bidi="ar"/>
        </w:rPr>
        <w:t>学术论文全流程智能校对合规助手</w:t>
      </w:r>
      <w:r>
        <w:rPr>
          <w:rFonts w:hint="eastAsia" w:ascii="微软雅黑" w:hAnsi="微软雅黑" w:eastAsia="微软雅黑" w:cs="微软雅黑"/>
          <w:kern w:val="0"/>
          <w:sz w:val="22"/>
          <w:szCs w:val="22"/>
          <w:lang w:val="en-US" w:eastAsia="zh-CN" w:bidi="ar"/>
        </w:rPr>
        <w:t>，核心服务群体覆盖本科生、硕士研究生、博士研究生及各类学术研究人员。区别于通用文本校对工具，产品深度适配学位论文、期刊学术论文的专属规范。</w:t>
      </w:r>
    </w:p>
    <w:p w14:paraId="30EEE797">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1.3 目标用户</w:t>
      </w:r>
    </w:p>
    <w:p w14:paraId="6C94F82C">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1. 核心用户：本科、硕士、博士在读学生，满足毕业论文、课程论文、学术初稿的校对、润色、合规自查需求；</w:t>
      </w:r>
    </w:p>
    <w:p w14:paraId="70796F53">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p>
    <w:p w14:paraId="45CC6B64">
      <w:pPr>
        <w:pStyle w:val="2"/>
        <w:keepNext w:val="0"/>
        <w:keepLines w:val="0"/>
        <w:widowControl/>
        <w:suppressLineNumbers w:val="0"/>
        <w:jc w:val="left"/>
        <w:rPr>
          <w:rFonts w:hint="eastAsia" w:ascii="微软雅黑" w:hAnsi="微软雅黑" w:eastAsia="微软雅黑" w:cs="微软雅黑"/>
          <w:sz w:val="40"/>
          <w:szCs w:val="40"/>
        </w:rPr>
      </w:pPr>
      <w:r>
        <w:rPr>
          <w:rFonts w:hint="eastAsia" w:ascii="微软雅黑" w:hAnsi="微软雅黑" w:eastAsia="微软雅黑" w:cs="微软雅黑"/>
          <w:sz w:val="40"/>
          <w:szCs w:val="40"/>
        </w:rPr>
        <w:t>2. 产品痛点与解决目标</w:t>
      </w:r>
    </w:p>
    <w:p w14:paraId="11BEA6F2">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2.1 行业核心痛点</w:t>
      </w:r>
    </w:p>
    <w:p w14:paraId="6EFC5DCF">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当前学术论文写作与校对环节存在三大普遍痛点：第一，论文格式体系繁杂，排版规则零散，人工自查极易出现疏漏，且无统一标准，反复修改耗时耗力；第二，人工校对仅能发现浅显错别字、语病，无法识别逻辑矛盾、公式冲突、图表引用缺失等深层专业问题；第三，多数写作人员学术表达能力不足，文稿口语化严重、句式冗长、逻辑松散，英文摘要表达生硬不地道，缺乏专业润色能力。</w:t>
      </w:r>
    </w:p>
    <w:p w14:paraId="6968F6EB">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2.2 产品核心目标</w:t>
      </w:r>
    </w:p>
    <w:p w14:paraId="0F5D4410">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通过智能化技术手段，实现论文</w:t>
      </w:r>
      <w:r>
        <w:rPr>
          <w:rStyle w:val="7"/>
          <w:rFonts w:hint="eastAsia" w:ascii="微软雅黑" w:hAnsi="微软雅黑" w:eastAsia="微软雅黑" w:cs="微软雅黑"/>
          <w:kern w:val="0"/>
          <w:sz w:val="22"/>
          <w:szCs w:val="22"/>
          <w:lang w:val="en-US" w:eastAsia="zh-CN" w:bidi="ar"/>
        </w:rPr>
        <w:t>格式标准化、内容精准化、表达学术化、提交合规化</w:t>
      </w:r>
      <w:r>
        <w:rPr>
          <w:rFonts w:hint="eastAsia" w:ascii="微软雅黑" w:hAnsi="微软雅黑" w:eastAsia="微软雅黑" w:cs="微软雅黑"/>
          <w:kern w:val="0"/>
          <w:sz w:val="22"/>
          <w:szCs w:val="22"/>
          <w:lang w:val="en-US" w:eastAsia="zh-CN" w:bidi="ar"/>
        </w:rPr>
        <w:t>，一站式解决论文排版错乱、内容错误、表达不规范、学术合规风险等核心问题，大幅降低师生论文校对与修改成本，全面提升学术论文写作质量与定稿效率。</w:t>
      </w:r>
    </w:p>
    <w:p w14:paraId="2E92B4B3">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p>
    <w:p w14:paraId="7E4110FE">
      <w:pPr>
        <w:pStyle w:val="2"/>
        <w:keepNext w:val="0"/>
        <w:keepLines w:val="0"/>
        <w:widowControl/>
        <w:suppressLineNumbers w:val="0"/>
        <w:jc w:val="left"/>
        <w:rPr>
          <w:rFonts w:hint="eastAsia" w:ascii="微软雅黑" w:hAnsi="微软雅黑" w:eastAsia="微软雅黑" w:cs="微软雅黑"/>
          <w:sz w:val="40"/>
          <w:szCs w:val="40"/>
        </w:rPr>
      </w:pPr>
      <w:r>
        <w:rPr>
          <w:rFonts w:hint="eastAsia" w:ascii="微软雅黑" w:hAnsi="微软雅黑" w:eastAsia="微软雅黑" w:cs="微软雅黑"/>
          <w:sz w:val="40"/>
          <w:szCs w:val="40"/>
        </w:rPr>
        <w:t>3. 核心功能性需求</w:t>
      </w:r>
    </w:p>
    <w:p w14:paraId="03BE7D31">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3.1 格式规范智能校验功能</w:t>
      </w:r>
    </w:p>
    <w:p w14:paraId="62F5E9F0">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产品内置全国高校学位论文、期刊论文通用排版规范库，支持全文格式自动化扫描、错误定位、问题标注与标准化修正，全方位覆盖论文全场景排版校验需求，统一格式标准，杜绝人工排版疏漏。具体校验范围如下：</w:t>
      </w:r>
    </w:p>
    <w:p w14:paraId="231D02E5">
      <w:pPr>
        <w:pStyle w:val="3"/>
        <w:keepNext w:val="0"/>
        <w:keepLines w:val="0"/>
        <w:widowControl/>
        <w:suppressLineNumbers w:val="0"/>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3.1.1页面与正文排版要求</w:t>
      </w:r>
    </w:p>
    <w:p w14:paraId="7DD019EF">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论文统一采用Word文档编排，纸张规格为A4，页面设置默认Word系统初始参数，支持常规打印与制作。正文内容排版参数统一标准化，具体要求：字体为宋体、字号为小四号、字符间距为标准模式、全文行距固定设置为20磅。</w:t>
      </w:r>
    </w:p>
    <w:p w14:paraId="7C1D8240">
      <w:pPr>
        <w:pStyle w:val="3"/>
        <w:keepNext w:val="0"/>
        <w:keepLines w:val="0"/>
        <w:widowControl/>
        <w:suppressLineNumbers w:val="0"/>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3.1.2论文内容结构要求</w:t>
      </w:r>
    </w:p>
    <w:p w14:paraId="2E384EE7">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学位论文需按照固定顺序完整包含八大核心模块，缺一不可，各模块规范要求如下：</w:t>
      </w:r>
    </w:p>
    <w:p w14:paraId="22624A40">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1. 扉页：展示指导小组成员名单；</w:t>
      </w:r>
    </w:p>
    <w:p w14:paraId="110BD321">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2. 目录：规范生成论文完整目录；</w:t>
      </w:r>
    </w:p>
    <w:p w14:paraId="74E35354">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3. 中文摘要：配套标注关键词、中图分类号；</w:t>
      </w:r>
    </w:p>
    <w:p w14:paraId="4AF33CDF">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4. 英文摘要：配套标注关键词、中图分类号；</w:t>
      </w:r>
    </w:p>
    <w:p w14:paraId="3D558BBA">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5. 引言（前言）：阐述论文研究背景、目的、意义等前置内容；</w:t>
      </w:r>
    </w:p>
    <w:p w14:paraId="1922C5F2">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6. 正文：论文核心研究、论述主体内容；</w:t>
      </w:r>
    </w:p>
    <w:p w14:paraId="37BF27C2">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7. 参考文献：汇总全文所有引用文献，著录格式严格遵从国家标准GB/T 7714—2015《信息与文献：参考文献著录规则》；</w:t>
      </w:r>
    </w:p>
    <w:p w14:paraId="25F8363F">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8. 后记/致谢：可选补充收尾内容，用于致谢、总结说明等。</w:t>
      </w:r>
    </w:p>
    <w:p w14:paraId="4B17124E">
      <w:pPr>
        <w:pStyle w:val="3"/>
        <w:keepNext w:val="0"/>
        <w:keepLines w:val="0"/>
        <w:widowControl/>
        <w:suppressLineNumbers w:val="0"/>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3.1.3 注释使用规范</w:t>
      </w:r>
    </w:p>
    <w:p w14:paraId="03169C83">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论文注释位置根据学位类型差异化适配，同时支持学科特殊适配，具体规则：</w:t>
      </w:r>
    </w:p>
    <w:p w14:paraId="3669187E">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1. 硕士学位论文：默认采用篇末注；</w:t>
      </w:r>
    </w:p>
    <w:p w14:paraId="69012175">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2. 博士学位论文：默认采用章末注；</w:t>
      </w:r>
    </w:p>
    <w:p w14:paraId="7424E50D">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3. 特殊适配：若所属学科存在专业撰写特殊需求，可酌情采用脚注形式。</w:t>
      </w:r>
    </w:p>
    <w:p w14:paraId="3C9AFAC5">
      <w:pPr>
        <w:pStyle w:val="3"/>
        <w:keepNext w:val="0"/>
        <w:keepLines w:val="0"/>
        <w:widowControl/>
        <w:suppressLineNumbers w:val="0"/>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3.1.4 字数标准规范</w:t>
      </w:r>
    </w:p>
    <w:p w14:paraId="3A3943DF">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论文字数根据学科类别、学位类型、学位性质分类界定，具体标准：</w:t>
      </w:r>
    </w:p>
    <w:p w14:paraId="1819153B">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1. 文科类学术学位：硕士论文字数不少于3万字，博士论文字数不少于10万字；</w:t>
      </w:r>
    </w:p>
    <w:p w14:paraId="0C16D72F">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2. 理科、医科类学位：无统一固定字数标准，由各专业结合行业及培养要求自行确定；</w:t>
      </w:r>
    </w:p>
    <w:p w14:paraId="51C2007F">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3. 专业学位：字数标准参照全国及院校专业学位研究生教育指导委员会官方相关规定执行。</w:t>
      </w:r>
    </w:p>
    <w:p w14:paraId="535043C1">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p>
    <w:p w14:paraId="5EF0DA72">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3.2 全维度论文智能纠错功能</w:t>
      </w:r>
    </w:p>
    <w:p w14:paraId="36D3A3B2">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依托大模型深度语义解析与专业学科知识库，突破传统文字校对的局限性，实现浅层文字问题+深层专业问题的全方位纠错，覆盖论文写作全易错场景，保障论文内容严谨准确。具体纠错维度如下：</w:t>
      </w:r>
    </w:p>
    <w:p w14:paraId="02D28FB2">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1. 基础文本纠错：精准识别全文错别字、语句语病、冗余不通顺句式，统一英文大小写格式，修正英文单词、学术专有名词拼写错误；</w:t>
      </w:r>
    </w:p>
    <w:p w14:paraId="15D53D04">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2. 全文逻辑纠错：通读全文语义，智能检测上下文逻辑矛盾、语义断层、表述冲突等隐性问题，标注漏洞并提供优化建议；</w:t>
      </w:r>
    </w:p>
    <w:p w14:paraId="13BE2633">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3. 专业内容纠错：针对理工科论文场景，校验数学公式、专业符号、变量释义的全文一致性，修正公式错乱、符号混用、变量前后矛盾等问题；</w:t>
      </w:r>
    </w:p>
    <w:p w14:paraId="3AAA7A6A">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4. 图表引用纠错：自动排查全文图片、表格编号断档、重复、错乱问题，识别未在正文交叉引用的图表，补齐图文逻辑闭环。</w:t>
      </w:r>
    </w:p>
    <w:p w14:paraId="4CC92D93">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3.3 专业化术智能润色功能</w:t>
      </w:r>
    </w:p>
    <w:p w14:paraId="0E397976">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在</w:t>
      </w:r>
      <w:r>
        <w:rPr>
          <w:rStyle w:val="7"/>
          <w:rFonts w:hint="eastAsia" w:ascii="微软雅黑" w:hAnsi="微软雅黑" w:eastAsia="微软雅黑" w:cs="微软雅黑"/>
          <w:kern w:val="0"/>
          <w:sz w:val="22"/>
          <w:szCs w:val="22"/>
          <w:lang w:val="en-US" w:eastAsia="zh-CN" w:bidi="ar"/>
        </w:rPr>
        <w:t>不改动原文核心观点、实验数据、研究结论</w:t>
      </w:r>
      <w:r>
        <w:rPr>
          <w:rFonts w:hint="eastAsia" w:ascii="微软雅黑" w:hAnsi="微软雅黑" w:eastAsia="微软雅黑" w:cs="微软雅黑"/>
          <w:kern w:val="0"/>
          <w:sz w:val="22"/>
          <w:szCs w:val="22"/>
          <w:lang w:val="en-US" w:eastAsia="zh-CN" w:bidi="ar"/>
        </w:rPr>
        <w:t>的前提下，针对论文口语化、句式臃肿、逻辑松散、英文表达不地道等问题进行专业化优化，提升论文整体学术质感与可读性。核心优化能力如下：</w:t>
      </w:r>
    </w:p>
    <w:p w14:paraId="7A17F398">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微软雅黑" w:hAnsi="微软雅黑" w:eastAsia="微软雅黑" w:cs="微软雅黑"/>
          <w:b/>
          <w:bCs/>
          <w:kern w:val="0"/>
          <w:sz w:val="28"/>
          <w:szCs w:val="28"/>
          <w:lang w:val="en-US" w:eastAsia="zh-CN" w:bidi="ar"/>
        </w:rPr>
      </w:pPr>
      <w:r>
        <w:rPr>
          <w:rFonts w:hint="eastAsia" w:ascii="微软雅黑" w:hAnsi="微软雅黑" w:eastAsia="微软雅黑" w:cs="微软雅黑"/>
          <w:b/>
          <w:bCs/>
          <w:kern w:val="0"/>
          <w:sz w:val="28"/>
          <w:szCs w:val="28"/>
          <w:lang w:val="en-US" w:eastAsia="zh-CN" w:bidi="ar"/>
        </w:rPr>
        <w:t>3.3.1 语体学术化转换</w:t>
      </w:r>
    </w:p>
    <w:p w14:paraId="03B3B57A">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智能识别口语化、通俗化、不严谨的表述，替换为标准学术书面语。例如将通俗表述“我们发现这个办法很好”润色为规范学术表达“实验结果表明，该算法表现出显著的优越性”；</w:t>
      </w:r>
    </w:p>
    <w:p w14:paraId="2DDA2DB5">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微软雅黑" w:hAnsi="微软雅黑" w:eastAsia="微软雅黑" w:cs="微软雅黑"/>
          <w:b/>
          <w:bCs/>
          <w:kern w:val="0"/>
          <w:sz w:val="28"/>
          <w:szCs w:val="28"/>
          <w:lang w:val="en-US" w:eastAsia="zh-CN" w:bidi="ar"/>
        </w:rPr>
      </w:pPr>
      <w:r>
        <w:rPr>
          <w:rFonts w:hint="eastAsia" w:ascii="微软雅黑" w:hAnsi="微软雅黑" w:eastAsia="微软雅黑" w:cs="微软雅黑"/>
          <w:b/>
          <w:bCs/>
          <w:kern w:val="0"/>
          <w:sz w:val="28"/>
          <w:szCs w:val="28"/>
          <w:lang w:val="en-US" w:eastAsia="zh-CN" w:bidi="ar"/>
        </w:rPr>
        <w:t>3.3.2段落逻辑优化</w:t>
      </w:r>
    </w:p>
    <w:p w14:paraId="37082E55">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梳理全文段落结构与语序，强化句间、段间的逻辑承接与递进关系，解决行文松散、衔接生硬问题；</w:t>
      </w:r>
    </w:p>
    <w:p w14:paraId="4CF768D5">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微软雅黑" w:hAnsi="微软雅黑" w:eastAsia="微软雅黑" w:cs="微软雅黑"/>
          <w:b/>
          <w:bCs/>
          <w:kern w:val="0"/>
          <w:sz w:val="28"/>
          <w:szCs w:val="28"/>
          <w:lang w:val="en-US" w:eastAsia="zh-CN" w:bidi="ar"/>
        </w:rPr>
      </w:pPr>
      <w:r>
        <w:rPr>
          <w:rFonts w:hint="eastAsia" w:ascii="微软雅黑" w:hAnsi="微软雅黑" w:eastAsia="微软雅黑" w:cs="微软雅黑"/>
          <w:b/>
          <w:bCs/>
          <w:kern w:val="0"/>
          <w:sz w:val="28"/>
          <w:szCs w:val="28"/>
          <w:lang w:val="en-US" w:eastAsia="zh-CN" w:bidi="ar"/>
        </w:rPr>
        <w:t>3.3.3句式精简重构</w:t>
      </w:r>
    </w:p>
    <w:p w14:paraId="0FCD6601">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针对冗长复杂、冗余堆砌的长难句，进行合理切分与结构优化，简化句式、保留核心语义，提升正文可读性；</w:t>
      </w:r>
    </w:p>
    <w:p w14:paraId="50A81A2A">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微软雅黑" w:hAnsi="微软雅黑" w:eastAsia="微软雅黑" w:cs="微软雅黑"/>
          <w:b/>
          <w:bCs/>
          <w:kern w:val="0"/>
          <w:sz w:val="28"/>
          <w:szCs w:val="28"/>
          <w:lang w:val="en-US" w:eastAsia="zh-CN" w:bidi="ar"/>
        </w:rPr>
      </w:pPr>
      <w:r>
        <w:rPr>
          <w:rFonts w:hint="eastAsia" w:ascii="微软雅黑" w:hAnsi="微软雅黑" w:eastAsia="微软雅黑" w:cs="微软雅黑"/>
          <w:b/>
          <w:bCs/>
          <w:kern w:val="0"/>
          <w:sz w:val="28"/>
          <w:szCs w:val="28"/>
          <w:lang w:val="en-US" w:eastAsia="zh-CN" w:bidi="ar"/>
        </w:rPr>
        <w:t>3.3.4 英文摘要专项润色</w:t>
      </w:r>
    </w:p>
    <w:p w14:paraId="7DFDB943">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修正英文摘要中式英语、语法错误、用词不当等问题，优化句式结构，提升英文表达的专业性与地道性。</w:t>
      </w:r>
    </w:p>
    <w:p w14:paraId="4D3EA4C2">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lang w:val="en-US" w:eastAsia="zh-CN"/>
        </w:rPr>
        <w:t>3.4</w:t>
      </w:r>
      <w:r>
        <w:rPr>
          <w:rFonts w:hint="eastAsia" w:ascii="微软雅黑" w:hAnsi="微软雅黑" w:eastAsia="微软雅黑" w:cs="微软雅黑"/>
          <w:sz w:val="32"/>
          <w:szCs w:val="32"/>
        </w:rPr>
        <w:t xml:space="preserve"> 参考文献引用要求</w:t>
      </w:r>
    </w:p>
    <w:p w14:paraId="15A7D2D0">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论文全文参考文献引用、标注、著录、排版均须严格执行GB/T 7714-2015《信息与文献：参考文献著录规则》国家标准，统一规范引用逻辑与格式，保障文献引用合规、溯源可查，具体要求如下：</w:t>
      </w:r>
    </w:p>
    <w:p w14:paraId="79F4AF0F">
      <w:pPr>
        <w:pStyle w:val="3"/>
        <w:keepNext w:val="0"/>
        <w:keepLines w:val="0"/>
        <w:widowControl/>
        <w:suppressLineNumbers w:val="0"/>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3.4.1 引用基本原则</w:t>
      </w:r>
    </w:p>
    <w:p w14:paraId="1E7395D0">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参考文献分为引文参考文献与阅读型参考文献，仅正文实际直接引用的文献方可标注为引文参考文献，仅供研读参考、未直接引用的文献归类为阅读型参考文献；所有参考文献须真实有效，严禁虚假引用、无效引用，文献信息完整可溯源，覆盖图书、期刊、学位论文、专利、电子资源等各类文献类型。</w:t>
      </w:r>
    </w:p>
    <w:p w14:paraId="347B50C9">
      <w:pPr>
        <w:pStyle w:val="3"/>
        <w:keepNext w:val="0"/>
        <w:keepLines w:val="0"/>
        <w:widowControl/>
        <w:suppressLineNumbers w:val="0"/>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3.4.2 正文标注规范</w:t>
      </w:r>
    </w:p>
    <w:p w14:paraId="2F777674">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统一采用顺序编码制，正文引用位置以方括号标注阿拉伯数字序号（如[1]、[2]），文末参考文献列表序号与正文引用序号一一对应、顺序一致；同一位置引用多篇文献，序号以逗号分隔，连续序号用短横线连接；多次引用同一文献，仅标注首次引用序号，可在序号外标注对应引文页码。</w:t>
      </w:r>
    </w:p>
    <w:p w14:paraId="1446EB4B">
      <w:pPr>
        <w:pStyle w:val="3"/>
        <w:keepNext w:val="0"/>
        <w:keepLines w:val="0"/>
        <w:widowControl/>
        <w:suppressLineNumbers w:val="0"/>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3.4.3 著录核心规则</w:t>
      </w:r>
    </w:p>
    <w:p w14:paraId="3887E6D2">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责任者著录：作者数量≤3位全部著录，超过3位仅著录前3位，中文后缀“等”、外文后缀“et al.”；中文作者姓名拼音姓全大写、名可缩写首字母，外文作者姓全大写、名可缩写。版本仅著录修订版、改版，首版无需标注。</w:t>
      </w:r>
    </w:p>
    <w:p w14:paraId="59642361">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信息完整性：常规文献需完整著录责任者、题名、文献类型标识、出版地、出版者、出版年、页码；电子资源必须补充访问路径、引用日期、DOI数字对象唯一标识符，确保资源可检索、可访问。</w:t>
      </w:r>
    </w:p>
    <w:p w14:paraId="4FE9C80C">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文献标识规范：严格使用国标统一文献类型代码，图书[M]、期刊[J]、学位论文[D]、报告[R]、专利[P]、标准[S]、电子公告[EB]等，电子资源需同步标注载体标识[OL]。</w:t>
      </w:r>
    </w:p>
    <w:p w14:paraId="135115EB">
      <w:pPr>
        <w:pStyle w:val="3"/>
        <w:keepNext w:val="0"/>
        <w:keepLines w:val="0"/>
        <w:widowControl/>
        <w:suppressLineNumbers w:val="0"/>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3.4.4 排版与列表规范</w:t>
      </w:r>
    </w:p>
    <w:p w14:paraId="7B0430BA">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文末参考文献统一按正文引用先后顺序排列，格式标点严格遵循国标前置符规则，区分题名、责任者、出版信息、页码的专用分隔符号；阅读型参考文献标注完整起止页码，引文参考文献仅标注实际引用对应页码；支持双语著录，优先使用文献原语种，可辅以其他语种对照标注。</w:t>
      </w:r>
    </w:p>
    <w:p w14:paraId="6FE8D3A7">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p>
    <w:p w14:paraId="33492B8B">
      <w:pPr>
        <w:keepNext w:val="0"/>
        <w:keepLines w:val="0"/>
        <w:widowControl/>
        <w:suppressLineNumbers w:val="0"/>
        <w:jc w:val="left"/>
        <w:rPr>
          <w:rFonts w:hint="eastAsia" w:ascii="微软雅黑" w:hAnsi="微软雅黑" w:eastAsia="微软雅黑" w:cs="微软雅黑"/>
          <w:kern w:val="0"/>
          <w:sz w:val="22"/>
          <w:szCs w:val="22"/>
          <w:lang w:val="en-US" w:eastAsia="zh-CN" w:bidi="ar"/>
        </w:rPr>
      </w:pPr>
    </w:p>
    <w:p w14:paraId="7442C52C">
      <w:pPr>
        <w:pStyle w:val="2"/>
        <w:keepNext w:val="0"/>
        <w:keepLines w:val="0"/>
        <w:widowControl/>
        <w:suppressLineNumbers w:val="0"/>
        <w:jc w:val="left"/>
        <w:rPr>
          <w:rFonts w:hint="eastAsia" w:ascii="微软雅黑" w:hAnsi="微软雅黑" w:eastAsia="微软雅黑" w:cs="微软雅黑"/>
          <w:sz w:val="40"/>
          <w:szCs w:val="40"/>
        </w:rPr>
      </w:pPr>
      <w:r>
        <w:rPr>
          <w:rFonts w:hint="eastAsia" w:ascii="微软雅黑" w:hAnsi="微软雅黑" w:eastAsia="微软雅黑" w:cs="微软雅黑"/>
          <w:sz w:val="40"/>
          <w:szCs w:val="40"/>
        </w:rPr>
        <w:t>4. 非功能性需求</w:t>
      </w:r>
    </w:p>
    <w:p w14:paraId="613DA606">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4.1 准确性要求</w:t>
      </w:r>
    </w:p>
    <w:p w14:paraId="58D04CFD">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bookmarkStart w:id="0" w:name="_GoBack"/>
      <w:r>
        <w:rPr>
          <w:rFonts w:hint="eastAsia" w:ascii="微软雅黑" w:hAnsi="微软雅黑" w:eastAsia="微软雅黑" w:cs="微软雅黑"/>
          <w:kern w:val="0"/>
          <w:sz w:val="22"/>
          <w:szCs w:val="22"/>
          <w:lang w:val="en-US" w:eastAsia="zh-CN" w:bidi="ar"/>
        </w:rPr>
        <w:t>学术润色贴合主流学术写作规范，严格保留原文核心内容，无观点篡改、数据偏差问题。</w:t>
      </w:r>
    </w:p>
    <w:bookmarkEnd w:id="0"/>
    <w:p w14:paraId="0F48A92B">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4.2 适配性要求</w:t>
      </w:r>
    </w:p>
    <w:p w14:paraId="45653B03">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适配本科、硕博不同层级论文标准，兼容文、理、工、医等多学科论文写作场景，可适配毕业论文、期刊论文、课题文稿等多种文本类型。</w:t>
      </w:r>
    </w:p>
    <w:p w14:paraId="1CE794A2">
      <w:pPr>
        <w:pStyle w:val="3"/>
        <w:keepNext w:val="0"/>
        <w:keepLines w:val="0"/>
        <w:widowControl/>
        <w:suppressLineNumbers w:val="0"/>
        <w:jc w:val="left"/>
        <w:rPr>
          <w:rFonts w:hint="eastAsia" w:ascii="微软雅黑" w:hAnsi="微软雅黑" w:eastAsia="微软雅黑" w:cs="微软雅黑"/>
          <w:sz w:val="32"/>
          <w:szCs w:val="32"/>
        </w:rPr>
      </w:pPr>
      <w:r>
        <w:rPr>
          <w:rFonts w:hint="eastAsia" w:ascii="微软雅黑" w:hAnsi="微软雅黑" w:eastAsia="微软雅黑" w:cs="微软雅黑"/>
          <w:sz w:val="32"/>
          <w:szCs w:val="32"/>
        </w:rPr>
        <w:t>4.3 性能效率要求</w:t>
      </w:r>
    </w:p>
    <w:p w14:paraId="0C59D725">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支持万字级论文全文快速解析、检测与润色，整体处理耗时短，无需人工干预，实现一键全流程智能化处理。</w:t>
      </w:r>
    </w:p>
    <w:p w14:paraId="001B08F6">
      <w:pPr>
        <w:pStyle w:val="2"/>
        <w:keepNext w:val="0"/>
        <w:keepLines w:val="0"/>
        <w:widowControl/>
        <w:suppressLineNumbers w:val="0"/>
        <w:jc w:val="left"/>
        <w:rPr>
          <w:rFonts w:hint="eastAsia" w:ascii="微软雅黑" w:hAnsi="微软雅黑" w:eastAsia="微软雅黑" w:cs="微软雅黑"/>
          <w:sz w:val="40"/>
          <w:szCs w:val="40"/>
        </w:rPr>
      </w:pPr>
      <w:r>
        <w:rPr>
          <w:rFonts w:hint="eastAsia" w:ascii="微软雅黑" w:hAnsi="微软雅黑" w:eastAsia="微软雅黑" w:cs="微软雅黑"/>
          <w:sz w:val="40"/>
          <w:szCs w:val="40"/>
        </w:rPr>
        <w:t>5. 产品核心价值</w:t>
      </w:r>
    </w:p>
    <w:p w14:paraId="4049EAC6">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 xml:space="preserve">1. </w:t>
      </w:r>
      <w:r>
        <w:rPr>
          <w:rStyle w:val="7"/>
          <w:rFonts w:hint="eastAsia" w:ascii="微软雅黑" w:hAnsi="微软雅黑" w:eastAsia="微软雅黑" w:cs="微软雅黑"/>
          <w:kern w:val="0"/>
          <w:sz w:val="22"/>
          <w:szCs w:val="22"/>
          <w:lang w:val="en-US" w:eastAsia="zh-CN" w:bidi="ar"/>
        </w:rPr>
        <w:t>效率提效价值</w:t>
      </w:r>
      <w:r>
        <w:rPr>
          <w:rFonts w:hint="eastAsia" w:ascii="微软雅黑" w:hAnsi="微软雅黑" w:eastAsia="微软雅黑" w:cs="微软雅黑"/>
          <w:kern w:val="0"/>
          <w:sz w:val="22"/>
          <w:szCs w:val="22"/>
          <w:lang w:val="en-US" w:eastAsia="zh-CN" w:bidi="ar"/>
        </w:rPr>
        <w:t>：替代人工自查、导师基础初审、知网前置预审等重复性工作，将数天的校对周期压缩至数分钟，极大节省师生时间成本；</w:t>
      </w:r>
    </w:p>
    <w:p w14:paraId="4A8567DC">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 xml:space="preserve">2. </w:t>
      </w:r>
      <w:r>
        <w:rPr>
          <w:rStyle w:val="7"/>
          <w:rFonts w:hint="eastAsia" w:ascii="微软雅黑" w:hAnsi="微软雅黑" w:eastAsia="微软雅黑" w:cs="微软雅黑"/>
          <w:kern w:val="0"/>
          <w:sz w:val="22"/>
          <w:szCs w:val="22"/>
          <w:lang w:val="en-US" w:eastAsia="zh-CN" w:bidi="ar"/>
        </w:rPr>
        <w:t>标准统一价值</w:t>
      </w:r>
      <w:r>
        <w:rPr>
          <w:rFonts w:hint="eastAsia" w:ascii="微软雅黑" w:hAnsi="微软雅黑" w:eastAsia="微软雅黑" w:cs="微软雅黑"/>
          <w:kern w:val="0"/>
          <w:sz w:val="22"/>
          <w:szCs w:val="22"/>
          <w:lang w:val="en-US" w:eastAsia="zh-CN" w:bidi="ar"/>
        </w:rPr>
        <w:t>：依托权威学术规范知识库，统一论文格式与写作标准，规避人工校对的主观性误差，解决格式混乱、表述不规范问题；</w:t>
      </w:r>
    </w:p>
    <w:p w14:paraId="61299980">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3.</w:t>
      </w:r>
      <w:r>
        <w:rPr>
          <w:rStyle w:val="7"/>
          <w:rFonts w:hint="eastAsia" w:ascii="微软雅黑" w:hAnsi="微软雅黑" w:eastAsia="微软雅黑" w:cs="微软雅黑"/>
          <w:kern w:val="0"/>
          <w:sz w:val="22"/>
          <w:szCs w:val="22"/>
          <w:lang w:val="en-US" w:eastAsia="zh-CN" w:bidi="ar"/>
        </w:rPr>
        <w:t>质量升级价值</w:t>
      </w:r>
      <w:r>
        <w:rPr>
          <w:rFonts w:hint="eastAsia" w:ascii="微软雅黑" w:hAnsi="微软雅黑" w:eastAsia="微软雅黑" w:cs="微软雅黑"/>
          <w:kern w:val="0"/>
          <w:sz w:val="22"/>
          <w:szCs w:val="22"/>
          <w:lang w:val="en-US" w:eastAsia="zh-CN" w:bidi="ar"/>
        </w:rPr>
        <w:t>：从格式、内容、逻辑、语言多维度优化论文质量，排查人工难以识别的隐性错误，全面提升论文专业性与严谨度；</w:t>
      </w:r>
    </w:p>
    <w:p w14:paraId="111613DE">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r>
        <w:rPr>
          <w:rFonts w:hint="eastAsia" w:ascii="微软雅黑" w:hAnsi="微软雅黑" w:eastAsia="微软雅黑" w:cs="微软雅黑"/>
          <w:kern w:val="0"/>
          <w:sz w:val="22"/>
          <w:szCs w:val="22"/>
          <w:lang w:val="en-US" w:eastAsia="zh-CN" w:bidi="ar"/>
        </w:rPr>
        <w:t xml:space="preserve">4. </w:t>
      </w:r>
      <w:r>
        <w:rPr>
          <w:rStyle w:val="7"/>
          <w:rFonts w:hint="eastAsia" w:ascii="微软雅黑" w:hAnsi="微软雅黑" w:eastAsia="微软雅黑" w:cs="微软雅黑"/>
          <w:kern w:val="0"/>
          <w:sz w:val="22"/>
          <w:szCs w:val="22"/>
          <w:lang w:val="en-US" w:eastAsia="zh-CN" w:bidi="ar"/>
        </w:rPr>
        <w:t>风险规避价值</w:t>
      </w:r>
      <w:r>
        <w:rPr>
          <w:rFonts w:hint="eastAsia" w:ascii="微软雅黑" w:hAnsi="微软雅黑" w:eastAsia="微软雅黑" w:cs="微软雅黑"/>
          <w:kern w:val="0"/>
          <w:sz w:val="22"/>
          <w:szCs w:val="22"/>
          <w:lang w:val="en-US" w:eastAsia="zh-CN" w:bidi="ar"/>
        </w:rPr>
        <w:t>：实现合规审核前置，提前化解论文预审、抽检、查重的合规风险，保障论文顺利提交审核。</w:t>
      </w:r>
    </w:p>
    <w:p w14:paraId="3B0CEB7E">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kern w:val="0"/>
          <w:sz w:val="22"/>
          <w:szCs w:val="22"/>
          <w:lang w:val="en-US" w:eastAsia="zh-CN" w:bidi="ar"/>
        </w:rPr>
      </w:pPr>
    </w:p>
    <w:p w14:paraId="2F2EDB7F">
      <w:pPr>
        <w:pStyle w:val="2"/>
        <w:keepNext w:val="0"/>
        <w:keepLines w:val="0"/>
        <w:widowControl/>
        <w:suppressLineNumbers w:val="0"/>
        <w:jc w:val="left"/>
        <w:rPr>
          <w:rFonts w:hint="eastAsia" w:ascii="微软雅黑" w:hAnsi="微软雅黑" w:eastAsia="微软雅黑" w:cs="微软雅黑"/>
          <w:sz w:val="44"/>
          <w:szCs w:val="44"/>
        </w:rPr>
      </w:pPr>
      <w:r>
        <w:rPr>
          <w:rFonts w:hint="eastAsia" w:ascii="微软雅黑" w:hAnsi="微软雅黑" w:eastAsia="微软雅黑" w:cs="微软雅黑"/>
          <w:sz w:val="44"/>
          <w:szCs w:val="44"/>
        </w:rPr>
        <w:t>6. 核心应用场景</w:t>
      </w:r>
    </w:p>
    <w:p w14:paraId="1325AFC3">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1. 学生论文初稿自查：全学段学生完成论文初稿后，一键完成格式、纠错、润色全流程优化，快速完成初稿定稿；</w:t>
      </w:r>
    </w:p>
    <w:p w14:paraId="2575EB5E">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2. 导师初审辅助批改：替代导师基础性、重复性的校对工作，让导师聚焦论文核心学术内容审核；</w:t>
      </w:r>
    </w:p>
    <w:p w14:paraId="525FD769">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3. 期刊投稿前置优化：科研人员投稿前完成论文合规润色与纠错，优化学术表达，提升投稿通过率；</w:t>
      </w:r>
    </w:p>
    <w:p w14:paraId="5112D45D">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微软雅黑" w:hAnsi="微软雅黑" w:eastAsia="微软雅黑" w:cs="微软雅黑"/>
          <w:sz w:val="20"/>
          <w:szCs w:val="22"/>
        </w:rPr>
      </w:pPr>
      <w:r>
        <w:rPr>
          <w:rFonts w:hint="eastAsia" w:ascii="微软雅黑" w:hAnsi="微软雅黑" w:eastAsia="微软雅黑" w:cs="微软雅黑"/>
          <w:kern w:val="0"/>
          <w:sz w:val="22"/>
          <w:szCs w:val="22"/>
          <w:lang w:val="en-US" w:eastAsia="zh-CN" w:bidi="ar"/>
        </w:rPr>
        <w:t>4. 毕业预审前置自检：论文正式提交学校、知网预审前，完成全维度自查整改，规避返工风险。</w:t>
      </w:r>
    </w:p>
    <w:p w14:paraId="207CED93">
      <w:pPr>
        <w:rPr>
          <w:rFonts w:hint="eastAsia" w:ascii="微软雅黑" w:hAnsi="微软雅黑" w:eastAsia="微软雅黑" w:cs="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28106C"/>
    <w:rsid w:val="0CB642E9"/>
    <w:rsid w:val="1AFE05D6"/>
    <w:rsid w:val="27F56453"/>
    <w:rsid w:val="2FB20AD0"/>
    <w:rsid w:val="5BBC0B85"/>
    <w:rsid w:val="662810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3347</Words>
  <Characters>3516</Characters>
  <Lines>0</Lines>
  <Paragraphs>0</Paragraphs>
  <TotalTime>15</TotalTime>
  <ScaleCrop>false</ScaleCrop>
  <LinksUpToDate>false</LinksUpToDate>
  <CharactersWithSpaces>3571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2026-05-27T10:44:00Z</dcterms:created>
  <dc:creator>Jun</dc:creator>
  <cp:lastModifiedBy>Jun</cp:lastModifiedBy>
  <dcterms:modified xsi:type="dcterms:W3CDTF">2026-05-27T12:06:59Z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1CA0349BBC524FA09D2B3822D73A9CF2_13</vt:lpwstr>
  </property>
  <property fmtid="{D5CDD505-2E9C-101B-9397-08002B2CF9AE}" pid="4" name="KSOTemplateDocerSaveRecord">
    <vt:lpwstr>eyJoZGlkIjoiZjkxNGU0YTljMzk0ZjkzZWRlM2U2NmQ5YmY2Y2Q5NmMiLCJ1c2VySWQiOiI1ODE3MzcxOTYifQ==</vt:lpwstr>
  </property>
</Properties>
</file>