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E2 — D’une techno à un problème à résoudre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00AE69"/>
        </w:rPr>
        <w:t xml:space="preserve">Intro</w:t>
      </w:r>
    </w:p>
    <w:p>
      <w:r>
        <w:rPr>
          <w:color w:val="00AE69"/>
        </w:rPr>
        <w:t xml:space="preserve">Les témoignages viennent de le dire à leur manière : on ne part pas d’une techno pour lui coller un besoin.</w:t>
      </w:r>
    </w:p>
    <w:p>
      <w:r>
        <w:rPr>
          <w:color w:val="00AE69"/>
        </w:rPr>
        <w:t xml:space="preserve">L’expert va faire le geste inverse : partir du problème à résoudre.</w:t>
      </w:r>
    </w:p>
    <w:p>
      <w:r>
        <w:rPr>
          <w:color w:val="00AE69"/>
        </w:rPr>
        <w:t xml:space="preserve">C’est le premier outil du parcours : ne pas confondre une solution disponible et un besoin réel.</w:t>
      </w:r>
    </w:p>
    <w:p>
      <w:pPr>
        <w:pStyle w:val="Heading2"/>
      </w:pPr>
      <w:r>
        <w:t xml:space="preserve">Transcript</w:t>
      </w:r>
    </w:p>
    <w:p>
      <w:r>
        <w:rPr>
          <w:i/>
        </w:rPr>
        <w:t xml:space="preserve">Transcript non disponible — vidéo pas encore filmée, ou fichier source absent.</w:t>
      </w:r>
    </w:p>
    <w:p>
      <w:pPr>
        <w:pStyle w:val="Heading2"/>
      </w:pPr>
      <w:r>
        <w:rPr>
          <w:color w:val="F0821A"/>
        </w:rPr>
        <w:t xml:space="preserve">Outro</w:t>
      </w:r>
    </w:p>
    <w:p>
      <w:r>
        <w:rPr>
          <w:color w:val="F0821A"/>
        </w:rPr>
        <w:t xml:space="preserve">Identifier un problème n’est pas encore le valider. Le terrain tranche.</w:t>
      </w:r>
    </w:p>
    <w:p>
      <w:r>
        <w:rPr>
          <w:color w:val="F0821A"/>
        </w:rPr>
        <w:t xml:space="preserve">Grégoire, ensuite, précise cette distinction — et ce que devient une proposition de valeur quand on l’éprouve hors du laboratoire.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63003C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0821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