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 — D’une techno à un problème à résoudre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Les témoignages viennent de le dire à leur manière : on ne part pas d’une techno pour lui coller un besoin.</w:t>
      </w:r>
    </w:p>
    <w:p>
      <w:r>
        <w:rPr>
          <w:color w:val="00AE69"/>
        </w:rPr>
        <w:t xml:space="preserve">L’expert va faire le geste inverse : partir du problème à résoudre.</w:t>
      </w:r>
    </w:p>
    <w:p>
      <w:r>
        <w:rPr>
          <w:color w:val="00AE69"/>
        </w:rPr>
        <w:t xml:space="preserve">C’est le premier outil du parcours : ne pas confondre une solution disponible et un besoin réel.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Identifier un problème n’est pas encore le valider. Le terrain tranche.</w:t>
      </w:r>
    </w:p>
    <w:p>
      <w:r>
        <w:rPr>
          <w:color w:val="F0821A"/>
        </w:rPr>
        <w:t xml:space="preserve">Grégoire, ensuite, précise cette distinction — et ce que devient une proposition de valeur quand on l’éprouve hors du laboratoire.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