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E4 — POC, prototype, MVP, TRL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2EAF7D"/>
        </w:rPr>
        <w:t xml:space="preserve">Intro</w:t>
      </w:r>
    </w:p>
    <w:p>
      <w:r>
        <w:rPr>
          <w:color w:val="2EAF7D"/>
        </w:rPr>
        <w:t xml:space="preserve">Les chercheuses et chercheurs viennent de parler de preuve, chacun avec ses mots.</w:t>
      </w:r>
    </w:p>
    <w:p>
      <w:r>
        <w:rPr>
          <w:color w:val="2EAF7D"/>
        </w:rPr>
        <w:t xml:space="preserve">L’expert va les ordonner : POC, prototype, MVP, et l’échelle TRL.</w:t>
      </w:r>
    </w:p>
    <w:p>
      <w:r>
        <w:rPr>
          <w:color w:val="2EAF7D"/>
        </w:rPr>
        <w:t xml:space="preserve">Ce n’est pas du jargon pour le jargon : chaque niveau autorise une conversation différente avec un partenaire ou un financeur.</w:t>
      </w:r>
    </w:p>
    <w:p>
      <w:pPr>
        <w:pStyle w:val="Heading2"/>
      </w:pPr>
      <w:r>
        <w:t xml:space="preserve">Transcript</w:t>
      </w:r>
    </w:p>
    <w:p>
      <w:r>
        <w:rPr>
          <w:i/>
        </w:rPr>
        <w:t xml:space="preserve">Transcript non disponible — vidéo pas encore filmée, ou fichier source absent.</w:t>
      </w:r>
    </w:p>
    <w:p>
      <w:pPr>
        <w:pStyle w:val="Heading2"/>
      </w:pPr>
      <w:r>
        <w:rPr>
          <w:color w:val="F48C2E"/>
        </w:rPr>
        <w:t xml:space="preserve">Outro</w:t>
      </w:r>
    </w:p>
    <w:p>
      <w:r>
        <w:rPr>
          <w:color w:val="F48C2E"/>
        </w:rPr>
        <w:t xml:space="preserve">Vous savez maintenant que la maturité se dit, et qu’elle se situe.</w:t>
      </w:r>
    </w:p>
    <w:p>
      <w:r>
        <w:rPr>
          <w:color w:val="F48C2E"/>
        </w:rPr>
        <w:t xml:space="preserve">Virginia, ensuite, déroule le dérisquage : ce n’est pas « trouver de l’argent », c’est lever des risques dans l’ordre — prématuration, puis maturation.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580F45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48C2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