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E14 — Chaîne des financements (Fatoumata)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Jean-Jacques vient de parler d’aides qui se ferment à la création. Fatoumata va déployer la chaîne : du labo vers l’usage.</w:t>
      </w:r>
    </w:p>
    <w:p>
      <w:r>
        <w:rPr>
          <w:color w:val="2EAF7D"/>
        </w:rPr>
        <w:t xml:space="preserve">On y retrouve la prématuration, les concours, puis d’autres sources. Reliez-le au dérisquage : chaque étage de risque a ses financeurs.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Dilutif, non-dilutif : ce n’est pas la même chose de garder ses parts ou d’en céder.</w:t>
      </w:r>
    </w:p>
    <w:p>
      <w:r>
        <w:rPr>
          <w:color w:val="F48C2E"/>
        </w:rPr>
        <w:t xml:space="preserve">L’expert suivant inverse le regard : non plus « quelles aides », mais « que veut un investisseur » — équipe, marché, PI, jalons. La techno seule ne suffit pas, Bernard l’a dit dès T1.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