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E16 — Logique des investisseurs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00AE69"/>
        </w:rPr>
        <w:t xml:space="preserve">Intro</w:t>
      </w:r>
    </w:p>
    <w:p>
      <w:r>
        <w:rPr>
          <w:color w:val="00AE69"/>
        </w:rPr>
        <w:t xml:space="preserve">Vous avez la chaîne des sources. L’investisseur, lui, choisit où poser son risque.</w:t>
      </w:r>
    </w:p>
    <w:p>
      <w:r>
        <w:rPr>
          <w:color w:val="00AE69"/>
        </w:rPr>
        <w:t xml:space="preserve">Il ne paie pas une publication. Il parie sur une équipe, un marché, une PI, une trajectoire de dérisquage.</w:t>
      </w:r>
    </w:p>
    <w:p>
      <w:r>
        <w:rPr>
          <w:color w:val="00AE69"/>
        </w:rPr>
        <w:t xml:space="preserve">Écoutez ce qu’il veut voir diminuer à chaque jalon — c’est le même vocabulaire que Virginia, vu de l’autre côté de la table.</w:t>
      </w:r>
    </w:p>
    <w:p>
      <w:pPr>
        <w:pStyle w:val="Heading2"/>
      </w:pPr>
      <w:r>
        <w:t xml:space="preserve">Transcript</w:t>
      </w:r>
    </w:p>
    <w:p>
      <w:r>
        <w:rPr>
          <w:i/>
        </w:rPr>
        <w:t xml:space="preserve">Transcript non disponible — vidéo pas encore filmée, ou fichier source absent.</w:t>
      </w:r>
    </w:p>
    <w:p>
      <w:pPr>
        <w:pStyle w:val="Heading2"/>
      </w:pPr>
      <w:r>
        <w:rPr>
          <w:color w:val="F0821A"/>
        </w:rPr>
        <w:t xml:space="preserve">Outro</w:t>
      </w:r>
    </w:p>
    <w:p>
      <w:r>
        <w:rPr>
          <w:color w:val="F0821A"/>
        </w:rPr>
        <w:t xml:space="preserve">Un investisseur maximise la valeur de son engagement en minimisant son risque. C’est clair.</w:t>
      </w:r>
    </w:p>
    <w:p>
      <w:r>
        <w:rPr>
          <w:color w:val="F0821A"/>
        </w:rPr>
        <w:t xml:space="preserve">Le module 4 change encore de pièce : l’équipe, la posture, le contrat entre fondateurs. Parce que, vous l’entendrez, on ne lève pas des fonds tout seul, et on ne parle pas la même langue au laboratoire et devant un partenaire.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63003C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0821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