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63003C"/>
          <w:sz w:val="40"/>
        </w:rPr>
        <w:t>Mise en service du catalogue</w:t>
      </w:r>
    </w:p>
    <w:p>
      <w:r>
        <w:rPr>
          <w:rFonts w:ascii="Calibri" w:hAnsi="Calibri" w:eastAsia="Calibri"/>
          <w:b w:val="0"/>
          <w:i/>
          <w:color w:val="313E48"/>
          <w:sz w:val="26"/>
        </w:rPr>
        <w:t>Note de projet</w:t>
      </w:r>
    </w:p>
    <w:p>
      <w:r>
        <w:rPr>
          <w:rFonts w:ascii="Calibri" w:hAnsi="Calibri" w:eastAsia="Calibri"/>
          <w:b/>
          <w:i w:val="0"/>
          <w:color w:val="1C1A1B"/>
          <w:sz w:val="22"/>
        </w:rPr>
        <w:t>Outil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: Catalogue de ressources innovation &amp; entrepreneuriat</w:t>
      </w:r>
    </w:p>
    <w:p>
      <w:r>
        <w:rPr>
          <w:rFonts w:ascii="Calibri" w:hAnsi="Calibri" w:eastAsia="Calibri"/>
          <w:b/>
          <w:i w:val="0"/>
          <w:color w:val="1C1A1B"/>
          <w:sz w:val="22"/>
        </w:rPr>
        <w:t>Porteur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: Pôle universitaire d’innovation (PUI) — Université Paris-Saclay</w:t>
      </w:r>
    </w:p>
    <w:p>
      <w:r>
        <w:rPr>
          <w:rFonts w:ascii="Calibri" w:hAnsi="Calibri" w:eastAsia="Calibri"/>
          <w:b/>
          <w:i w:val="0"/>
          <w:color w:val="1C1A1B"/>
          <w:sz w:val="22"/>
        </w:rPr>
        <w:t>Date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: 8 octobre 2026</w:t>
      </w:r>
    </w:p>
    <w:p>
      <w:r>
        <w:rPr>
          <w:rFonts w:ascii="Calibri" w:hAnsi="Calibri" w:eastAsia="Calibri"/>
          <w:b/>
          <w:i w:val="0"/>
          <w:color w:val="1C1A1B"/>
          <w:sz w:val="22"/>
        </w:rPr>
        <w:t>Statut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: cadrage pour une mise en service</w:t>
      </w:r>
    </w:p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1. Objet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Passer du </w:t>
      </w:r>
      <w:r>
        <w:rPr>
          <w:rFonts w:ascii="Calibri" w:hAnsi="Calibri" w:eastAsia="Calibri"/>
          <w:b/>
          <w:i w:val="0"/>
          <w:color w:val="1C1A1B"/>
          <w:sz w:val="22"/>
        </w:rPr>
        <w:t>prototype local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(ouvert avec </w:t>
      </w:r>
      <w:r>
        <w:rPr>
          <w:rFonts w:ascii="Consolas" w:hAnsi="Consolas" w:eastAsia="Consolas"/>
          <w:b w:val="0"/>
          <w:i w:val="0"/>
          <w:color w:val="63003C"/>
          <w:sz w:val="20"/>
        </w:rPr>
        <w:t>ouvrir.py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sur un ordinateur) à un </w:t>
      </w:r>
      <w:r>
        <w:rPr>
          <w:rFonts w:ascii="Calibri" w:hAnsi="Calibri" w:eastAsia="Calibri"/>
          <w:b/>
          <w:i w:val="0"/>
          <w:color w:val="1C1A1B"/>
          <w:sz w:val="22"/>
        </w:rPr>
        <w:t>service consultable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par les équipes PUI, avec un responsable, un rythme de mise à jour, et un cadrage (données, hébergement, lecture seule).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Ce n’est pas le lancement d’un SI. C’est la </w:t>
      </w:r>
      <w:r>
        <w:rPr>
          <w:rFonts w:ascii="Calibri" w:hAnsi="Calibri" w:eastAsia="Calibri"/>
          <w:b/>
          <w:i w:val="0"/>
          <w:color w:val="1C1A1B"/>
          <w:sz w:val="22"/>
        </w:rPr>
        <w:t>mise en service d’un site statique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alimenté par un fichier d’inventaire.</w:t>
      </w:r>
    </w:p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2. Ce qui est déjà là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>Un site HTML / CSS / JavaScript, sans base de données.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Un inventaire </w:t>
      </w:r>
      <w:r>
        <w:rPr>
          <w:rFonts w:ascii="Consolas" w:hAnsi="Consolas" w:eastAsia="Consolas"/>
          <w:b w:val="0"/>
          <w:i w:val="0"/>
          <w:color w:val="63003C"/>
          <w:sz w:val="20"/>
        </w:rPr>
        <w:t>data/catalog.json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(~318 fiches, 10 types).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>Une source métier historique : fichier Excel.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>Navigation par besoin (se former, concevoir, s’appuyer), recherche, fiches, orientation par mail.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>Identité Paris-Saclay / Oser pour innover.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Le code du site est simple. La mise en service dépend surtout de </w:t>
      </w:r>
      <w:r>
        <w:rPr>
          <w:rFonts w:ascii="Calibri" w:hAnsi="Calibri" w:eastAsia="Calibri"/>
          <w:b/>
          <w:i w:val="0"/>
          <w:color w:val="1C1A1B"/>
          <w:sz w:val="22"/>
        </w:rPr>
        <w:t>où on l’héberge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C1A1B"/>
          <w:sz w:val="22"/>
        </w:rPr>
        <w:t>qui met à jour les fiches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, et </w:t>
      </w:r>
      <w:r>
        <w:rPr>
          <w:rFonts w:ascii="Calibri" w:hAnsi="Calibri" w:eastAsia="Calibri"/>
          <w:b/>
          <w:i w:val="0"/>
          <w:color w:val="1C1A1B"/>
          <w:sz w:val="22"/>
        </w:rPr>
        <w:t>ce qu’on a le droit de publier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(contacts, mails).</w:t>
      </w:r>
    </w:p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3. Périmètre de la mise en service</w:t>
      </w:r>
    </w:p>
    <w:p>
      <w:r>
        <w:rPr>
          <w:rFonts w:ascii="Calibri" w:hAnsi="Calibri" w:eastAsia="Calibri"/>
          <w:b/>
          <w:i w:val="0"/>
          <w:color w:val="1C1A1B"/>
          <w:sz w:val="22"/>
        </w:rPr>
        <w:t>Inclus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>Publication du catalogue en consultation.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>Désignation d’un référent contenu et d’un geste de publication.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>Décision sur le fichier maître (Excel, Grist, base SQL) — voir document 03.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Cible : </w:t>
      </w:r>
      <w:r>
        <w:rPr>
          <w:rFonts w:ascii="Calibri" w:hAnsi="Calibri" w:eastAsia="Calibri"/>
          <w:b/>
          <w:i w:val="0"/>
          <w:color w:val="1C1A1B"/>
          <w:sz w:val="22"/>
        </w:rPr>
        <w:t>une requête (idéalement SQL)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qui produit </w:t>
      </w:r>
      <w:r>
        <w:rPr>
          <w:rFonts w:ascii="Consolas" w:hAnsi="Consolas" w:eastAsia="Consolas"/>
          <w:b w:val="0"/>
          <w:i w:val="0"/>
          <w:color w:val="63003C"/>
          <w:sz w:val="20"/>
        </w:rPr>
        <w:t>catalog.json</w:t>
      </w:r>
      <w:r>
        <w:rPr>
          <w:rFonts w:ascii="Calibri" w:hAnsi="Calibri" w:eastAsia="Calibri"/>
          <w:b w:val="0"/>
          <w:i w:val="0"/>
          <w:color w:val="1C1A1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Version publique </w:t>
      </w:r>
      <w:r>
        <w:rPr>
          <w:rFonts w:ascii="Calibri" w:hAnsi="Calibri" w:eastAsia="Calibri"/>
          <w:b/>
          <w:i w:val="0"/>
          <w:color w:val="1C1A1B"/>
          <w:sz w:val="22"/>
        </w:rPr>
        <w:t>sans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édition dans le navigateur.</w:t>
      </w:r>
    </w:p>
    <w:p>
      <w:r>
        <w:rPr>
          <w:rFonts w:ascii="Calibri" w:hAnsi="Calibri" w:eastAsia="Calibri"/>
          <w:b/>
          <w:i w:val="0"/>
          <w:color w:val="1C1A1B"/>
          <w:sz w:val="22"/>
        </w:rPr>
        <w:t>Exclus à ce stade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>Comptes utilisateurs, workflow de validation dans le site.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>Application mobile native.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>Synchronisation automatique temps réel (sauf si on la décide plus tard).</w:t>
      </w:r>
    </w:p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4. Étapes proposées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63003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Étape</w:t>
            </w:r>
          </w:p>
        </w:tc>
        <w:tc>
          <w:tcPr>
            <w:tcW w:type="dxa" w:w="3249"/>
            <w:shd w:fill="63003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Livrable</w:t>
            </w:r>
          </w:p>
        </w:tc>
        <w:tc>
          <w:tcPr>
            <w:tcW w:type="dxa" w:w="3249"/>
            <w:shd w:fill="63003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Qui</w:t>
            </w:r>
          </w:p>
        </w:tc>
      </w:tr>
      <w:tr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1. Décider le niveau</w:t>
            </w:r>
          </w:p>
        </w:tc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Démo interne </w:t>
            </w:r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ou</w:t>
            </w:r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 service publié</w:t>
            </w:r>
          </w:p>
        </w:tc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PUI + éventuellement DSI</w:t>
            </w:r>
          </w:p>
        </w:tc>
      </w:tr>
      <w:tr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2. Cadrer les données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Contacts affichables ou non (RGPD)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PUI + DPD / DSI</w:t>
            </w:r>
          </w:p>
        </w:tc>
      </w:tr>
      <w:tr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3. Choisir le fichier maître</w:t>
            </w:r>
          </w:p>
        </w:tc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Excel, Grist, ou tables SQL</w:t>
            </w:r>
          </w:p>
        </w:tc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PUI + accompagnement technique</w:t>
            </w:r>
          </w:p>
        </w:tc>
      </w:tr>
      <w:tr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4. Héberger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URL HTTPS, idéalement Université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DSI ou Pages (transitoire)</w:t>
            </w:r>
          </w:p>
        </w:tc>
      </w:tr>
      <w:tr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5. Désactiver l’édition publique</w:t>
            </w:r>
          </w:p>
        </w:tc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Site en lecture seule</w:t>
            </w:r>
          </w:p>
        </w:tc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Ajustement du site</w:t>
            </w:r>
          </w:p>
        </w:tc>
      </w:tr>
      <w:tr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6. Publier une première version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JSON produit par requête + fichiers du site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Personne maîtrisant le code assisté par IA</w:t>
            </w:r>
          </w:p>
        </w:tc>
      </w:tr>
      <w:tr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7. Rythme</w:t>
            </w:r>
          </w:p>
        </w:tc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Ex. mise à jour mensuelle</w:t>
            </w:r>
          </w:p>
        </w:tc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Référent contenu</w:t>
            </w:r>
          </w:p>
        </w:tc>
      </w:tr>
    </w:tbl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5. Critères de « site en service »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>Une URL stable, ouvrable sans Python ni fichier local.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Les visiteurs </w:t>
      </w:r>
      <w:r>
        <w:rPr>
          <w:rFonts w:ascii="Calibri" w:hAnsi="Calibri" w:eastAsia="Calibri"/>
          <w:b/>
          <w:i w:val="0"/>
          <w:color w:val="1C1A1B"/>
          <w:sz w:val="22"/>
        </w:rPr>
        <w:t>consultent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; ils ne « sauvent » pas le catalogue pour tout le monde.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On sait </w:t>
      </w:r>
      <w:r>
        <w:rPr>
          <w:rFonts w:ascii="Calibri" w:hAnsi="Calibri" w:eastAsia="Calibri"/>
          <w:b/>
          <w:i w:val="0"/>
          <w:color w:val="1C1A1B"/>
          <w:sz w:val="22"/>
        </w:rPr>
        <w:t>qui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corrige une fiche et </w:t>
      </w:r>
      <w:r>
        <w:rPr>
          <w:rFonts w:ascii="Calibri" w:hAnsi="Calibri" w:eastAsia="Calibri"/>
          <w:b/>
          <w:i w:val="0"/>
          <w:color w:val="1C1A1B"/>
          <w:sz w:val="22"/>
        </w:rPr>
        <w:t>comment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elle arrive en ligne.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>Un contact PUI est affiché (</w:t>
      </w:r>
      <w:r>
        <w:rPr>
          <w:rFonts w:ascii="Consolas" w:hAnsi="Consolas" w:eastAsia="Consolas"/>
          <w:b w:val="0"/>
          <w:i w:val="0"/>
          <w:color w:val="63003C"/>
          <w:sz w:val="20"/>
        </w:rPr>
        <w:t>formation.innovation@universite-paris-saclay.fr</w:t>
      </w:r>
      <w:r>
        <w:rPr>
          <w:rFonts w:ascii="Calibri" w:hAnsi="Calibri" w:eastAsia="Calibri"/>
          <w:b w:val="0"/>
          <w:i w:val="0"/>
          <w:color w:val="1C1A1B"/>
          <w:sz w:val="22"/>
        </w:rPr>
        <w:t>).</w:t>
      </w:r>
    </w:p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6. Documents associés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63003C"/>
          <w:sz w:val="20"/>
        </w:rPr>
        <w:t>02_Besoins_mise_en_production.md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63003C"/>
          <w:sz w:val="20"/>
        </w:rPr>
        <w:t>03_Fonctionnement_et_evolutions.md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63003C"/>
          <w:sz w:val="20"/>
        </w:rPr>
        <w:t>04_Maintenance_et_competences.md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i w:val="0"/>
        <w:color w:val="63003C"/>
        <w:sz w:val="18"/>
      </w:rPr>
      <w:t>Université Paris-Saclay  ·  Catalogue de ressources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