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Calibri"/>
          <w:b/>
          <w:i w:val="0"/>
          <w:color w:val="63003C"/>
          <w:sz w:val="40"/>
        </w:rPr>
        <w:t>Besoins pour une mise en production</w:t>
      </w:r>
    </w:p>
    <w:p>
      <w:r>
        <w:rPr>
          <w:rFonts w:ascii="Calibri" w:hAnsi="Calibri" w:eastAsia="Calibri"/>
          <w:b w:val="0"/>
          <w:i/>
          <w:color w:val="313E48"/>
          <w:sz w:val="26"/>
        </w:rPr>
        <w:t>Catalogue de ressources innovation &amp; entrepreneuriat</w:t>
      </w:r>
    </w:p>
    <w:p>
      <w:r>
        <w:rPr>
          <w:rFonts w:ascii="Calibri" w:hAnsi="Calibri" w:eastAsia="Calibri"/>
          <w:b/>
          <w:i w:val="0"/>
          <w:color w:val="1C1A1B"/>
          <w:sz w:val="22"/>
        </w:rPr>
        <w:t>Date</w:t>
      </w:r>
      <w:r>
        <w:rPr>
          <w:rFonts w:ascii="Calibri" w:hAnsi="Calibri" w:eastAsia="Calibri"/>
          <w:b w:val="0"/>
          <w:i w:val="0"/>
          <w:color w:val="1C1A1B"/>
          <w:sz w:val="22"/>
        </w:rPr>
        <w:t xml:space="preserve"> : 8 octobre 2026</w:t>
      </w:r>
    </w:p>
    <w:p>
      <w:r>
        <w:rPr>
          <w:rFonts w:ascii="Calibri" w:hAnsi="Calibri" w:eastAsia="Calibri"/>
          <w:b w:val="0"/>
          <w:i w:val="0"/>
          <w:color w:val="1C1A1B"/>
          <w:sz w:val="22"/>
        </w:rPr>
        <w:t xml:space="preserve">Ce document liste ce qu’il faut </w:t>
      </w:r>
      <w:r>
        <w:rPr>
          <w:rFonts w:ascii="Calibri" w:hAnsi="Calibri" w:eastAsia="Calibri"/>
          <w:b/>
          <w:i w:val="0"/>
          <w:color w:val="1C1A1B"/>
          <w:sz w:val="22"/>
        </w:rPr>
        <w:t>avoir</w:t>
      </w:r>
      <w:r>
        <w:rPr>
          <w:rFonts w:ascii="Calibri" w:hAnsi="Calibri" w:eastAsia="Calibri"/>
          <w:b w:val="0"/>
          <w:i w:val="0"/>
          <w:color w:val="1C1A1B"/>
          <w:sz w:val="22"/>
        </w:rPr>
        <w:t xml:space="preserve"> avant d’annoncer le catalogue comme un service, pas seulement une démo sur un Mac.</w:t>
      </w:r>
    </w:p>
    <w:p>
      <w:pPr>
        <w:spacing w:before="280"/>
      </w:pPr>
      <w:r>
        <w:rPr>
          <w:rFonts w:ascii="Calibri" w:hAnsi="Calibri" w:eastAsia="Calibri"/>
          <w:b/>
          <w:i w:val="0"/>
          <w:color w:val="63003C"/>
          <w:sz w:val="28"/>
        </w:rPr>
        <w:t>1. Technique (léger)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63003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FFFFFF"/>
                <w:sz w:val="20"/>
              </w:rPr>
              <w:t>Besoin</w:t>
            </w:r>
          </w:p>
        </w:tc>
        <w:tc>
          <w:tcPr>
            <w:tcW w:type="dxa" w:w="3249"/>
            <w:shd w:fill="63003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FFFFFF"/>
                <w:sz w:val="20"/>
              </w:rPr>
              <w:t>Pourquoi</w:t>
            </w:r>
          </w:p>
        </w:tc>
        <w:tc>
          <w:tcPr>
            <w:tcW w:type="dxa" w:w="3249"/>
            <w:shd w:fill="63003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FFFFFF"/>
                <w:sz w:val="20"/>
              </w:rPr>
              <w:t>Niveau</w:t>
            </w:r>
          </w:p>
        </w:tc>
      </w:tr>
      <w:tr>
        <w:tc>
          <w:tcPr>
            <w:tcW w:type="dxa" w:w="3249"/>
            <w:shd w:fill="F4F0F1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1A1B"/>
                <w:sz w:val="20"/>
              </w:rPr>
              <w:t>Hébergement de fichiers statiques (HTTPS)</w:t>
            </w:r>
          </w:p>
        </w:tc>
        <w:tc>
          <w:tcPr>
            <w:tcW w:type="dxa" w:w="3249"/>
            <w:shd w:fill="F4F0F1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1A1B"/>
                <w:sz w:val="20"/>
              </w:rPr>
              <w:t>Servir HTML, CSS, JS, JSON, logos</w:t>
            </w:r>
          </w:p>
        </w:tc>
        <w:tc>
          <w:tcPr>
            <w:tcW w:type="dxa" w:w="3249"/>
            <w:shd w:fill="F4F0F1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1A1B"/>
                <w:sz w:val="20"/>
              </w:rPr>
              <w:t>Obligatoire</w:t>
            </w:r>
          </w:p>
        </w:tc>
      </w:tr>
      <w:tr>
        <w:tc>
          <w:tcPr>
            <w:tcW w:type="dxa" w:w="3249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1A1B"/>
                <w:sz w:val="20"/>
              </w:rPr>
              <w:t>URL connue (idéalement Université)</w:t>
            </w:r>
          </w:p>
        </w:tc>
        <w:tc>
          <w:tcPr>
            <w:tcW w:type="dxa" w:w="3249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1A1B"/>
                <w:sz w:val="20"/>
              </w:rPr>
              <w:t>Crédibilité, pérennité</w:t>
            </w:r>
          </w:p>
        </w:tc>
        <w:tc>
          <w:tcPr>
            <w:tcW w:type="dxa" w:w="3249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1A1B"/>
                <w:sz w:val="20"/>
              </w:rPr>
              <w:t>Fortement recommandé</w:t>
            </w:r>
          </w:p>
        </w:tc>
      </w:tr>
      <w:tr>
        <w:tc>
          <w:tcPr>
            <w:tcW w:type="dxa" w:w="3249"/>
            <w:shd w:fill="F4F0F1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1A1B"/>
                <w:sz w:val="20"/>
              </w:rPr>
              <w:t xml:space="preserve">Version </w:t>
            </w:r>
            <w:r>
              <w:rPr>
                <w:rFonts w:ascii="Calibri" w:hAnsi="Calibri" w:eastAsia="Calibri"/>
                <w:b/>
                <w:i w:val="0"/>
                <w:color w:val="1C1A1B"/>
                <w:sz w:val="20"/>
              </w:rPr>
              <w:t>lecture seule</w:t>
            </w:r>
          </w:p>
        </w:tc>
        <w:tc>
          <w:tcPr>
            <w:tcW w:type="dxa" w:w="3249"/>
            <w:shd w:fill="F4F0F1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1A1B"/>
                <w:sz w:val="20"/>
              </w:rPr>
              <w:t>Les boutons Ajouter / Modifier / Supprimer ne mettent pas à jour le catalogue pour tous</w:t>
            </w:r>
          </w:p>
        </w:tc>
        <w:tc>
          <w:tcPr>
            <w:tcW w:type="dxa" w:w="3249"/>
            <w:shd w:fill="F4F0F1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1A1B"/>
                <w:sz w:val="20"/>
              </w:rPr>
              <w:t>Obligatoire en public</w:t>
            </w:r>
          </w:p>
        </w:tc>
      </w:tr>
      <w:tr>
        <w:tc>
          <w:tcPr>
            <w:tcW w:type="dxa" w:w="3249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1A1B"/>
                <w:sz w:val="20"/>
              </w:rPr>
              <w:t xml:space="preserve">Ne plus s’appuyer sur </w:t>
            </w:r>
            <w:r>
              <w:rPr>
                <w:rFonts w:ascii="Consolas" w:hAnsi="Consolas" w:eastAsia="Consolas"/>
                <w:b w:val="0"/>
                <w:i w:val="0"/>
                <w:color w:val="63003C"/>
                <w:sz w:val="18"/>
              </w:rPr>
              <w:t>localStorage</w:t>
            </w:r>
            <w:r>
              <w:rPr>
                <w:rFonts w:ascii="Calibri" w:hAnsi="Calibri" w:eastAsia="Calibri"/>
                <w:b w:val="0"/>
                <w:i w:val="0"/>
                <w:color w:val="1C1A1B"/>
                <w:sz w:val="20"/>
              </w:rPr>
              <w:t xml:space="preserve"> en prod</w:t>
            </w:r>
          </w:p>
        </w:tc>
        <w:tc>
          <w:tcPr>
            <w:tcW w:type="dxa" w:w="3249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1A1B"/>
                <w:sz w:val="20"/>
              </w:rPr>
              <w:t>Une vieille copie locale peut masquer le fichier officiel</w:t>
            </w:r>
          </w:p>
        </w:tc>
        <w:tc>
          <w:tcPr>
            <w:tcW w:type="dxa" w:w="3249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1A1B"/>
                <w:sz w:val="20"/>
              </w:rPr>
              <w:t>Obligatoire en public</w:t>
            </w:r>
          </w:p>
        </w:tc>
      </w:tr>
      <w:tr>
        <w:tc>
          <w:tcPr>
            <w:tcW w:type="dxa" w:w="3249"/>
            <w:shd w:fill="F4F0F1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1A1B"/>
                <w:sz w:val="20"/>
              </w:rPr>
              <w:t xml:space="preserve">Sauvegarde du </w:t>
            </w:r>
            <w:r>
              <w:rPr>
                <w:rFonts w:ascii="Consolas" w:hAnsi="Consolas" w:eastAsia="Consolas"/>
                <w:b w:val="0"/>
                <w:i w:val="0"/>
                <w:color w:val="63003C"/>
                <w:sz w:val="18"/>
              </w:rPr>
              <w:t>catalog.json</w:t>
            </w:r>
            <w:r>
              <w:rPr>
                <w:rFonts w:ascii="Calibri" w:hAnsi="Calibri" w:eastAsia="Calibri"/>
                <w:b w:val="0"/>
                <w:i w:val="0"/>
                <w:color w:val="1C1A1B"/>
                <w:sz w:val="20"/>
              </w:rPr>
              <w:t xml:space="preserve"> (Git ou copie datée)</w:t>
            </w:r>
          </w:p>
        </w:tc>
        <w:tc>
          <w:tcPr>
            <w:tcW w:type="dxa" w:w="3249"/>
            <w:shd w:fill="F4F0F1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1A1B"/>
                <w:sz w:val="20"/>
              </w:rPr>
              <w:t>Pouvoir revenir en arrière</w:t>
            </w:r>
          </w:p>
        </w:tc>
        <w:tc>
          <w:tcPr>
            <w:tcW w:type="dxa" w:w="3249"/>
            <w:shd w:fill="F4F0F1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1A1B"/>
                <w:sz w:val="20"/>
              </w:rPr>
              <w:t>Obligatoire</w:t>
            </w:r>
          </w:p>
        </w:tc>
      </w:tr>
      <w:tr>
        <w:tc>
          <w:tcPr>
            <w:tcW w:type="dxa" w:w="3249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1A1B"/>
                <w:sz w:val="20"/>
              </w:rPr>
              <w:t xml:space="preserve">Chaîne </w:t>
            </w:r>
            <w:r>
              <w:rPr>
                <w:rFonts w:ascii="Calibri" w:hAnsi="Calibri" w:eastAsia="Calibri"/>
                <w:b/>
                <w:i w:val="0"/>
                <w:color w:val="1C1A1B"/>
                <w:sz w:val="20"/>
              </w:rPr>
              <w:t>tables → requête → JSON</w:t>
            </w:r>
          </w:p>
        </w:tc>
        <w:tc>
          <w:tcPr>
            <w:tcW w:type="dxa" w:w="3249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1A1B"/>
                <w:sz w:val="20"/>
              </w:rPr>
              <w:t>Ne plus fabriquer le JSON à la main</w:t>
            </w:r>
          </w:p>
        </w:tc>
        <w:tc>
          <w:tcPr>
            <w:tcW w:type="dxa" w:w="3249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1A1B"/>
                <w:sz w:val="20"/>
              </w:rPr>
              <w:t>Fortement recommandé</w:t>
            </w:r>
          </w:p>
        </w:tc>
      </w:tr>
    </w:tbl>
    <w:p>
      <w:r>
        <w:rPr>
          <w:rFonts w:ascii="Calibri" w:hAnsi="Calibri" w:eastAsia="Calibri"/>
          <w:b w:val="0"/>
          <w:i w:val="0"/>
          <w:color w:val="1C1A1B"/>
          <w:sz w:val="22"/>
        </w:rPr>
        <w:t xml:space="preserve">Le site public reste un site </w:t>
      </w:r>
      <w:r>
        <w:rPr>
          <w:rFonts w:ascii="Calibri" w:hAnsi="Calibri" w:eastAsia="Calibri"/>
          <w:b/>
          <w:i w:val="0"/>
          <w:color w:val="1C1A1B"/>
          <w:sz w:val="22"/>
        </w:rPr>
        <w:t>statique</w:t>
      </w:r>
      <w:r>
        <w:rPr>
          <w:rFonts w:ascii="Calibri" w:hAnsi="Calibri" w:eastAsia="Calibri"/>
          <w:b w:val="0"/>
          <w:i w:val="0"/>
          <w:color w:val="1C1A1B"/>
          <w:sz w:val="22"/>
        </w:rPr>
        <w:t xml:space="preserve"> (pas de comptes, pas d’appli mobile). La base SQL, si on l’adopte, sert à </w:t>
      </w:r>
      <w:r>
        <w:rPr>
          <w:rFonts w:ascii="Calibri" w:hAnsi="Calibri" w:eastAsia="Calibri"/>
          <w:b/>
          <w:i w:val="0"/>
          <w:color w:val="1C1A1B"/>
          <w:sz w:val="22"/>
        </w:rPr>
        <w:t>générer</w:t>
      </w:r>
      <w:r>
        <w:rPr>
          <w:rFonts w:ascii="Calibri" w:hAnsi="Calibri" w:eastAsia="Calibri"/>
          <w:b w:val="0"/>
          <w:i w:val="0"/>
          <w:color w:val="1C1A1B"/>
          <w:sz w:val="22"/>
        </w:rPr>
        <w:t xml:space="preserve"> le JSON, pas à être interrogée par chaque visiteur.</w:t>
      </w:r>
    </w:p>
    <w:p>
      <w:pPr>
        <w:spacing w:before="280"/>
      </w:pPr>
      <w:r>
        <w:rPr>
          <w:rFonts w:ascii="Calibri" w:hAnsi="Calibri" w:eastAsia="Calibri"/>
          <w:b/>
          <w:i w:val="0"/>
          <w:color w:val="63003C"/>
          <w:sz w:val="28"/>
        </w:rPr>
        <w:t>2. Données et droit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63003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FFFFFF"/>
                <w:sz w:val="20"/>
              </w:rPr>
              <w:t>Besoin</w:t>
            </w:r>
          </w:p>
        </w:tc>
        <w:tc>
          <w:tcPr>
            <w:tcW w:type="dxa" w:w="3249"/>
            <w:shd w:fill="63003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FFFFFF"/>
                <w:sz w:val="20"/>
              </w:rPr>
              <w:t>Pourquoi</w:t>
            </w:r>
          </w:p>
        </w:tc>
        <w:tc>
          <w:tcPr>
            <w:tcW w:type="dxa" w:w="3249"/>
            <w:shd w:fill="63003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FFFFFF"/>
                <w:sz w:val="20"/>
              </w:rPr>
              <w:t>Niveau</w:t>
            </w:r>
          </w:p>
        </w:tc>
      </w:tr>
      <w:tr>
        <w:tc>
          <w:tcPr>
            <w:tcW w:type="dxa" w:w="3249"/>
            <w:shd w:fill="F4F0F1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1A1B"/>
                <w:sz w:val="20"/>
              </w:rPr>
              <w:t>Avis RGPD / DPD</w:t>
            </w:r>
          </w:p>
        </w:tc>
        <w:tc>
          <w:tcPr>
            <w:tcW w:type="dxa" w:w="3249"/>
            <w:shd w:fill="F4F0F1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1A1B"/>
                <w:sz w:val="20"/>
              </w:rPr>
              <w:t>Noms et mails dans les fiches = données personnelles une fois le JSON en ligne</w:t>
            </w:r>
          </w:p>
        </w:tc>
        <w:tc>
          <w:tcPr>
            <w:tcW w:type="dxa" w:w="3249"/>
            <w:shd w:fill="F4F0F1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1A1B"/>
                <w:sz w:val="20"/>
              </w:rPr>
              <w:t>Bloquant si publication large</w:t>
            </w:r>
          </w:p>
        </w:tc>
      </w:tr>
      <w:tr>
        <w:tc>
          <w:tcPr>
            <w:tcW w:type="dxa" w:w="3249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1A1B"/>
                <w:sz w:val="20"/>
              </w:rPr>
              <w:t>Règle d’affichage</w:t>
            </w:r>
          </w:p>
        </w:tc>
        <w:tc>
          <w:tcPr>
            <w:tcW w:type="dxa" w:w="3249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1A1B"/>
                <w:sz w:val="20"/>
              </w:rPr>
              <w:t>Quels champs restent publics (lien, titre) vs internes (mail)</w:t>
            </w:r>
          </w:p>
        </w:tc>
        <w:tc>
          <w:tcPr>
            <w:tcW w:type="dxa" w:w="3249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1A1B"/>
                <w:sz w:val="20"/>
              </w:rPr>
              <w:t>Fortement recommandé</w:t>
            </w:r>
          </w:p>
        </w:tc>
      </w:tr>
      <w:tr>
        <w:tc>
          <w:tcPr>
            <w:tcW w:type="dxa" w:w="3249"/>
            <w:shd w:fill="F4F0F1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1A1B"/>
                <w:sz w:val="20"/>
              </w:rPr>
              <w:t>Qualité minimale</w:t>
            </w:r>
          </w:p>
        </w:tc>
        <w:tc>
          <w:tcPr>
            <w:tcW w:type="dxa" w:w="3249"/>
            <w:shd w:fill="F4F0F1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1A1B"/>
                <w:sz w:val="20"/>
              </w:rPr>
              <w:t>Liens cliquables, établissements homogènes, contacts à jour</w:t>
            </w:r>
          </w:p>
        </w:tc>
        <w:tc>
          <w:tcPr>
            <w:tcW w:type="dxa" w:w="3249"/>
            <w:shd w:fill="F4F0F1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1A1B"/>
                <w:sz w:val="20"/>
              </w:rPr>
              <w:t>Recommandé avant com’ large</w:t>
            </w:r>
          </w:p>
        </w:tc>
      </w:tr>
      <w:tr>
        <w:tc>
          <w:tcPr>
            <w:tcW w:type="dxa" w:w="3249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1A1B"/>
                <w:sz w:val="20"/>
              </w:rPr>
              <w:t>Fichier maître identifié</w:t>
            </w:r>
          </w:p>
        </w:tc>
        <w:tc>
          <w:tcPr>
            <w:tcW w:type="dxa" w:w="3249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1A1B"/>
                <w:sz w:val="20"/>
              </w:rPr>
              <w:t>Une seule source de vérité (plus d’Excel + JSON + mémoire navigateur)</w:t>
            </w:r>
          </w:p>
        </w:tc>
        <w:tc>
          <w:tcPr>
            <w:tcW w:type="dxa" w:w="3249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1A1B"/>
                <w:sz w:val="20"/>
              </w:rPr>
              <w:t>Obligatoire</w:t>
            </w:r>
          </w:p>
        </w:tc>
      </w:tr>
    </w:tbl>
    <w:p>
      <w:pPr>
        <w:spacing w:before="280"/>
      </w:pPr>
      <w:r>
        <w:rPr>
          <w:rFonts w:ascii="Calibri" w:hAnsi="Calibri" w:eastAsia="Calibri"/>
          <w:b/>
          <w:i w:val="0"/>
          <w:color w:val="63003C"/>
          <w:sz w:val="28"/>
        </w:rPr>
        <w:t>3. Organisation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63003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FFFFFF"/>
                <w:sz w:val="20"/>
              </w:rPr>
              <w:t>Besoin</w:t>
            </w:r>
          </w:p>
        </w:tc>
        <w:tc>
          <w:tcPr>
            <w:tcW w:type="dxa" w:w="4873"/>
            <w:shd w:fill="63003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FFFFFF"/>
                <w:sz w:val="20"/>
              </w:rPr>
              <w:t>Pourquoi</w:t>
            </w:r>
          </w:p>
        </w:tc>
      </w:tr>
      <w:tr>
        <w:tc>
          <w:tcPr>
            <w:tcW w:type="dxa" w:w="4873"/>
            <w:shd w:fill="F4F0F1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1A1B"/>
                <w:sz w:val="20"/>
              </w:rPr>
              <w:t>Référent contenu PUI</w:t>
            </w:r>
          </w:p>
        </w:tc>
        <w:tc>
          <w:tcPr>
            <w:tcW w:type="dxa" w:w="4873"/>
            <w:shd w:fill="F4F0F1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1A1B"/>
                <w:sz w:val="20"/>
              </w:rPr>
              <w:t>Qui décide qu’une fiche entre ou sort</w:t>
            </w:r>
          </w:p>
        </w:tc>
      </w:tr>
      <w:tr>
        <w:tc>
          <w:tcPr>
            <w:tcW w:type="dxa" w:w="4873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1A1B"/>
                <w:sz w:val="20"/>
              </w:rPr>
              <w:t>Geste de publication</w:t>
            </w:r>
          </w:p>
        </w:tc>
        <w:tc>
          <w:tcPr>
            <w:tcW w:type="dxa" w:w="4873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1A1B"/>
                <w:sz w:val="20"/>
              </w:rPr>
              <w:t xml:space="preserve">Qui lance la requête / l’export et dépose </w:t>
            </w:r>
            <w:r>
              <w:rPr>
                <w:rFonts w:ascii="Consolas" w:hAnsi="Consolas" w:eastAsia="Consolas"/>
                <w:b w:val="0"/>
                <w:i w:val="0"/>
                <w:color w:val="63003C"/>
                <w:sz w:val="18"/>
              </w:rPr>
              <w:t>catalog.json</w:t>
            </w:r>
          </w:p>
        </w:tc>
      </w:tr>
      <w:tr>
        <w:tc>
          <w:tcPr>
            <w:tcW w:type="dxa" w:w="4873"/>
            <w:shd w:fill="F4F0F1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1A1B"/>
                <w:sz w:val="20"/>
              </w:rPr>
              <w:t>Rythme</w:t>
            </w:r>
          </w:p>
        </w:tc>
        <w:tc>
          <w:tcPr>
            <w:tcW w:type="dxa" w:w="4873"/>
            <w:shd w:fill="F4F0F1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1A1B"/>
                <w:sz w:val="20"/>
              </w:rPr>
              <w:t>Mensuel suffit souvent ; plus fréquent si le fichier maître est partagé (Grist)</w:t>
            </w:r>
          </w:p>
        </w:tc>
      </w:tr>
      <w:tr>
        <w:tc>
          <w:tcPr>
            <w:tcW w:type="dxa" w:w="4873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1A1B"/>
                <w:sz w:val="20"/>
              </w:rPr>
              <w:t>Distinction de périmètre</w:t>
            </w:r>
          </w:p>
        </w:tc>
        <w:tc>
          <w:tcPr>
            <w:tcW w:type="dxa" w:w="4873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1A1B"/>
                <w:sz w:val="20"/>
              </w:rPr>
              <w:t>Ce n’est pas un annuaire de laboratoires</w:t>
            </w:r>
          </w:p>
        </w:tc>
      </w:tr>
    </w:tbl>
    <w:p>
      <w:pPr>
        <w:spacing w:before="280"/>
      </w:pPr>
      <w:r>
        <w:rPr>
          <w:rFonts w:ascii="Calibri" w:hAnsi="Calibri" w:eastAsia="Calibri"/>
          <w:b/>
          <w:i w:val="0"/>
          <w:color w:val="63003C"/>
          <w:sz w:val="28"/>
        </w:rPr>
        <w:t>4. Institutionnel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C1A1B"/>
          <w:sz w:val="22"/>
        </w:rPr>
        <w:t>Charte graphique et logos (déjà en place).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C1A1B"/>
          <w:sz w:val="22"/>
        </w:rPr>
        <w:t>Mentions légales / contact (le mail existe ; une page courte peut être demandée par l’Université).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C1A1B"/>
          <w:sz w:val="22"/>
        </w:rPr>
        <w:t xml:space="preserve">Accessibilité (RGAA) si le service est officiel : le site est simple, </w:t>
      </w:r>
      <w:r>
        <w:rPr>
          <w:rFonts w:ascii="Calibri" w:hAnsi="Calibri" w:eastAsia="Calibri"/>
          <w:b/>
          <w:i w:val="0"/>
          <w:color w:val="1C1A1B"/>
          <w:sz w:val="22"/>
        </w:rPr>
        <w:t>pas encore audité</w:t>
      </w:r>
      <w:r>
        <w:rPr>
          <w:rFonts w:ascii="Calibri" w:hAnsi="Calibri" w:eastAsia="Calibri"/>
          <w:b w:val="0"/>
          <w:i w:val="0"/>
          <w:color w:val="1C1A1B"/>
          <w:sz w:val="22"/>
        </w:rPr>
        <w:t>.</w:t>
      </w:r>
    </w:p>
    <w:p>
      <w:pPr>
        <w:spacing w:before="280"/>
      </w:pPr>
      <w:r>
        <w:rPr>
          <w:rFonts w:ascii="Calibri" w:hAnsi="Calibri" w:eastAsia="Calibri"/>
          <w:b/>
          <w:i w:val="0"/>
          <w:color w:val="63003C"/>
          <w:sz w:val="28"/>
        </w:rPr>
        <w:t>5. Dimensionnement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C1A1B"/>
          <w:sz w:val="22"/>
        </w:rPr>
        <w:t>Pas un SI à équipe dédiée, ni une refonte WordPress / CRM.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C1A1B"/>
          <w:sz w:val="22"/>
        </w:rPr>
        <w:t>Les contributeurs métier n’ont pas à coder : ils saisissent dans le maître (Grist, tableur, ou interface SQL).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C1A1B"/>
          <w:sz w:val="22"/>
        </w:rPr>
        <w:t xml:space="preserve">La chaîne technique (requête JSON, lecture seule, mise en ligne) est portée par une personne </w:t>
      </w:r>
      <w:r>
        <w:rPr>
          <w:rFonts w:ascii="Calibri" w:hAnsi="Calibri" w:eastAsia="Calibri"/>
          <w:b/>
          <w:i w:val="0"/>
          <w:color w:val="1C1A1B"/>
          <w:sz w:val="22"/>
        </w:rPr>
        <w:t>à l’aise avec les outils de code assisté par IA</w:t>
      </w:r>
      <w:r>
        <w:rPr>
          <w:rFonts w:ascii="Calibri" w:hAnsi="Calibri" w:eastAsia="Calibri"/>
          <w:b w:val="0"/>
          <w:i w:val="0"/>
          <w:color w:val="1C1A1B"/>
          <w:sz w:val="22"/>
        </w:rPr>
        <w:t>, éventuellement un codeur.</w:t>
      </w:r>
    </w:p>
    <w:p>
      <w:r>
        <w:rPr>
          <w:rFonts w:ascii="Calibri" w:hAnsi="Calibri" w:eastAsia="Calibri"/>
          <w:b w:val="0"/>
          <w:i w:val="0"/>
          <w:color w:val="1C1A1B"/>
          <w:sz w:val="22"/>
        </w:rPr>
        <w:t>On a besoin d’</w:t>
      </w:r>
      <w:r>
        <w:rPr>
          <w:rFonts w:ascii="Calibri" w:hAnsi="Calibri" w:eastAsia="Calibri"/>
          <w:b/>
          <w:i w:val="0"/>
          <w:color w:val="1C1A1B"/>
          <w:sz w:val="22"/>
        </w:rPr>
        <w:t>une décision</w:t>
      </w:r>
      <w:r>
        <w:rPr>
          <w:rFonts w:ascii="Calibri" w:hAnsi="Calibri" w:eastAsia="Calibri"/>
          <w:b w:val="0"/>
          <w:i w:val="0"/>
          <w:color w:val="1C1A1B"/>
          <w:sz w:val="22"/>
        </w:rPr>
        <w:t xml:space="preserve"> (interne vs public), d’</w:t>
      </w:r>
      <w:r>
        <w:rPr>
          <w:rFonts w:ascii="Calibri" w:hAnsi="Calibri" w:eastAsia="Calibri"/>
          <w:b/>
          <w:i w:val="0"/>
          <w:color w:val="1C1A1B"/>
          <w:sz w:val="22"/>
        </w:rPr>
        <w:t>un hébergement</w:t>
      </w:r>
      <w:r>
        <w:rPr>
          <w:rFonts w:ascii="Calibri" w:hAnsi="Calibri" w:eastAsia="Calibri"/>
          <w:b w:val="0"/>
          <w:i w:val="0"/>
          <w:color w:val="1C1A1B"/>
          <w:sz w:val="22"/>
        </w:rPr>
        <w:t>, d’</w:t>
      </w:r>
      <w:r>
        <w:rPr>
          <w:rFonts w:ascii="Calibri" w:hAnsi="Calibri" w:eastAsia="Calibri"/>
          <w:b/>
          <w:i w:val="0"/>
          <w:color w:val="1C1A1B"/>
          <w:sz w:val="22"/>
        </w:rPr>
        <w:t>un maître de données</w:t>
      </w:r>
      <w:r>
        <w:rPr>
          <w:rFonts w:ascii="Calibri" w:hAnsi="Calibri" w:eastAsia="Calibri"/>
          <w:b w:val="0"/>
          <w:i w:val="0"/>
          <w:color w:val="1C1A1B"/>
          <w:sz w:val="22"/>
        </w:rPr>
        <w:t>, d’</w:t>
      </w:r>
      <w:r>
        <w:rPr>
          <w:rFonts w:ascii="Calibri" w:hAnsi="Calibri" w:eastAsia="Calibri"/>
          <w:b/>
          <w:i w:val="0"/>
          <w:color w:val="1C1A1B"/>
          <w:sz w:val="22"/>
        </w:rPr>
        <w:t>une requête de publication</w:t>
      </w:r>
      <w:r>
        <w:rPr>
          <w:rFonts w:ascii="Calibri" w:hAnsi="Calibri" w:eastAsia="Calibri"/>
          <w:b w:val="0"/>
          <w:i w:val="0"/>
          <w:color w:val="1C1A1B"/>
          <w:sz w:val="22"/>
        </w:rPr>
        <w:t>, et d’</w:t>
      </w:r>
      <w:r>
        <w:rPr>
          <w:rFonts w:ascii="Calibri" w:hAnsi="Calibri" w:eastAsia="Calibri"/>
          <w:b/>
          <w:i w:val="0"/>
          <w:color w:val="1C1A1B"/>
          <w:sz w:val="22"/>
        </w:rPr>
        <w:t>un responsable contenu</w:t>
      </w:r>
      <w:r>
        <w:rPr>
          <w:rFonts w:ascii="Calibri" w:hAnsi="Calibri" w:eastAsia="Calibri"/>
          <w:b w:val="0"/>
          <w:i w:val="0"/>
          <w:color w:val="1C1A1B"/>
          <w:sz w:val="22"/>
        </w:rPr>
        <w:t>.</w:t>
      </w:r>
    </w:p>
    <w:p>
      <w:pPr>
        <w:spacing w:before="280"/>
      </w:pPr>
      <w:r>
        <w:rPr>
          <w:rFonts w:ascii="Calibri" w:hAnsi="Calibri" w:eastAsia="Calibri"/>
          <w:b/>
          <w:i w:val="0"/>
          <w:color w:val="63003C"/>
          <w:sz w:val="28"/>
        </w:rPr>
        <w:t>6. Points durs (rappel)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1C1A1B"/>
          <w:sz w:val="22"/>
        </w:rPr>
        <w:t>Mails et noms</w:t>
      </w:r>
      <w:r>
        <w:rPr>
          <w:rFonts w:ascii="Calibri" w:hAnsi="Calibri" w:eastAsia="Calibri"/>
          <w:b w:val="0"/>
          <w:i w:val="0"/>
          <w:color w:val="1C1A1B"/>
          <w:sz w:val="22"/>
        </w:rPr>
        <w:t xml:space="preserve"> dans un fichier public.  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1C1A1B"/>
          <w:sz w:val="22"/>
        </w:rPr>
        <w:t>Illusion d’édition</w:t>
      </w:r>
      <w:r>
        <w:rPr>
          <w:rFonts w:ascii="Calibri" w:hAnsi="Calibri" w:eastAsia="Calibri"/>
          <w:b w:val="0"/>
          <w:i w:val="0"/>
          <w:color w:val="1C1A1B"/>
          <w:sz w:val="22"/>
        </w:rPr>
        <w:t xml:space="preserve"> si on laisse les boutons actuels.  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1C1A1B"/>
          <w:sz w:val="22"/>
        </w:rPr>
        <w:t>Hébergement Université</w:t>
      </w:r>
      <w:r>
        <w:rPr>
          <w:rFonts w:ascii="Calibri" w:hAnsi="Calibri" w:eastAsia="Calibri"/>
          <w:b w:val="0"/>
          <w:i w:val="0"/>
          <w:color w:val="1C1A1B"/>
          <w:sz w:val="22"/>
        </w:rPr>
        <w:t xml:space="preserve"> vs GitHub perso.  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1C1A1B"/>
          <w:sz w:val="22"/>
        </w:rPr>
        <w:t>Qui maintient</w:t>
      </w:r>
      <w:r>
        <w:rPr>
          <w:rFonts w:ascii="Calibri" w:hAnsi="Calibri" w:eastAsia="Calibri"/>
          <w:b w:val="0"/>
          <w:i w:val="0"/>
          <w:color w:val="1C1A1B"/>
          <w:sz w:val="22"/>
        </w:rPr>
        <w:t xml:space="preserve"> dans six mois.</w:t>
      </w:r>
    </w:p>
    <w:p>
      <w:r>
        <w:rPr>
          <w:rFonts w:ascii="Calibri" w:hAnsi="Calibri" w:eastAsia="Calibri"/>
          <w:b w:val="0"/>
          <w:i w:val="0"/>
          <w:color w:val="1C1A1B"/>
          <w:sz w:val="22"/>
        </w:rPr>
        <w:t>Détail du fonctionnement actuel et des évolutions (Excel → serveur / Grist) : document 03.</w:t>
      </w:r>
    </w:p>
    <w:sectPr w:rsidR="00FC693F" w:rsidRPr="0006063C" w:rsidSect="00034616">
      <w:head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Calibri"/>
        <w:b/>
        <w:i w:val="0"/>
        <w:color w:val="63003C"/>
        <w:sz w:val="18"/>
      </w:rPr>
      <w:t>Université Paris-Saclay  ·  Catalogue de ressources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