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63003C"/>
          <w:sz w:val="40"/>
        </w:rPr>
        <w:t>Maintenance, calendrier et compétences</w:t>
      </w:r>
    </w:p>
    <w:p>
      <w:r>
        <w:rPr>
          <w:rFonts w:ascii="Calibri" w:hAnsi="Calibri" w:eastAsia="Calibri"/>
          <w:b w:val="0"/>
          <w:i/>
          <w:color w:val="313E48"/>
          <w:sz w:val="26"/>
        </w:rPr>
        <w:t>Catalogue de ressources innovation &amp; entrepreneuriat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Date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: 8 octobre 2026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1. Profils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Contenu (PUI)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>Référent et contributeurs habilités : ils tiennent les fiches dans le maître (Grist, tableur, ou tables SQL). Ils n’ont pas à modifier le code du site.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Chaîne technique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Une personne qui </w:t>
      </w:r>
      <w:r>
        <w:rPr>
          <w:rFonts w:ascii="Calibri" w:hAnsi="Calibri" w:eastAsia="Calibri"/>
          <w:b/>
          <w:i w:val="0"/>
          <w:color w:val="1C1A1B"/>
          <w:sz w:val="22"/>
        </w:rPr>
        <w:t>maîtrise les outils de code assisté par IA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(idéalement avec une pratique de codeur, même partielle) : requête de publication JSON, lecture seule, dépôt des fichiers, évolutions ponctuelles du site.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>L’IA accélère l’écriture de la requête SQL (ou de l’équivalent API), les tests, et les ajustements. Elle ne remplace pas la validation métier des fiches, ni le cadrage RGPD / hébergement Université.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2. Trois maintenances (ne pas les mélanger)</w:t>
      </w:r>
    </w:p>
    <w:p>
      <w:pPr>
        <w:spacing w:before="200"/>
      </w:pPr>
      <w:r>
        <w:rPr>
          <w:rFonts w:ascii="Calibri" w:hAnsi="Calibri" w:eastAsia="Calibri"/>
          <w:b/>
          <w:i w:val="0"/>
          <w:color w:val="313E48"/>
          <w:sz w:val="24"/>
        </w:rPr>
        <w:t>A. Contenus (quotidien / mensuel)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3003C" w:val="clear"/>
          </w:tcPr>
          <w:p>
            <w:r/>
          </w:p>
        </w:tc>
        <w:tc>
          <w:tcPr>
            <w:tcW w:type="dxa" w:w="4873"/>
            <w:shd w:fill="63003C" w:val="clear"/>
          </w:tcPr>
          <w:p>
            <w:r/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Quoi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Ajouter ou corriger une fiche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Où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Fichier maître (Excel aujourd’hui ; Grist ou SQL demain) — pas le site public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Quand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Dès qu’une info change ; revue </w:t>
            </w:r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mensuelle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 souvent suffisante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Qui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Référent PUI, contributeurs habilités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Compétence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Outil de saisie (tableur / Grist). Pas le code du site</w:t>
            </w:r>
          </w:p>
        </w:tc>
      </w:tr>
    </w:tbl>
    <w:p>
      <w:r>
        <w:rPr>
          <w:rFonts w:ascii="Calibri" w:hAnsi="Calibri" w:eastAsia="Calibri"/>
          <w:b w:val="0"/>
          <w:i w:val="0"/>
          <w:color w:val="1C1A1B"/>
          <w:sz w:val="22"/>
        </w:rPr>
        <w:t>C’est l’essentiel de la vie du catalogue.</w:t>
      </w:r>
    </w:p>
    <w:p>
      <w:pPr>
        <w:spacing w:before="200"/>
      </w:pPr>
      <w:r>
        <w:rPr>
          <w:rFonts w:ascii="Calibri" w:hAnsi="Calibri" w:eastAsia="Calibri"/>
          <w:b/>
          <w:i w:val="0"/>
          <w:color w:val="313E48"/>
          <w:sz w:val="24"/>
        </w:rPr>
        <w:t>B. Publication (geste technique)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3003C" w:val="clear"/>
          </w:tcPr>
          <w:p>
            <w:r/>
          </w:p>
        </w:tc>
        <w:tc>
          <w:tcPr>
            <w:tcW w:type="dxa" w:w="4873"/>
            <w:shd w:fill="63003C" w:val="clear"/>
          </w:tcPr>
          <w:p>
            <w:r/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Quoi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Exécuter la </w:t>
            </w:r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requête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 (SQL de préférence) ou l’export équivalent → </w:t>
            </w:r>
            <w:r>
              <w:rPr>
                <w:rFonts w:ascii="Consolas" w:hAnsi="Consolas" w:eastAsia="Consolas"/>
                <w:b w:val="0"/>
                <w:i w:val="0"/>
                <w:color w:val="63003C"/>
                <w:sz w:val="18"/>
              </w:rPr>
              <w:t>catalog.json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, puis mettre le site à jour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Où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Base / Grist + dossier du site / Git / serveur web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Quand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Après une série de corrections (ex. une fois par mois)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Qui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Personne à l’aise avec le code assisté par IA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Compétence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Lancer la requête, vérifier le JSON, déployer</w:t>
            </w:r>
          </w:p>
        </w:tc>
      </w:tr>
    </w:tbl>
    <w:p>
      <w:r>
        <w:rPr>
          <w:rFonts w:ascii="Calibri" w:hAnsi="Calibri" w:eastAsia="Calibri"/>
          <w:b w:val="0"/>
          <w:i w:val="0"/>
          <w:color w:val="1C1A1B"/>
          <w:sz w:val="22"/>
        </w:rPr>
        <w:t>Sans ce geste, le site affiche l’ancien inventaire.</w:t>
      </w:r>
    </w:p>
    <w:p>
      <w:pPr>
        <w:spacing w:before="200"/>
      </w:pPr>
      <w:r>
        <w:rPr>
          <w:rFonts w:ascii="Calibri" w:hAnsi="Calibri" w:eastAsia="Calibri"/>
          <w:b/>
          <w:i w:val="0"/>
          <w:color w:val="313E48"/>
          <w:sz w:val="24"/>
        </w:rPr>
        <w:t>C. Site (ponctuel)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3003C" w:val="clear"/>
          </w:tcPr>
          <w:p>
            <w:r/>
          </w:p>
        </w:tc>
        <w:tc>
          <w:tcPr>
            <w:tcW w:type="dxa" w:w="4873"/>
            <w:shd w:fill="63003C" w:val="clear"/>
          </w:tcPr>
          <w:p>
            <w:r/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Quoi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Lecture seule, nouveau type de ressource, mentions, correctif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Où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63003C"/>
                <w:sz w:val="18"/>
              </w:rPr>
              <w:t>js/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63003C"/>
                <w:sz w:val="18"/>
              </w:rPr>
              <w:t>styles.css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63003C"/>
                <w:sz w:val="18"/>
              </w:rPr>
              <w:t>index.html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, éventuellement la requête SQL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Quand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Quelques fois par an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Qui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Même profil (code assisté par IA), ou codeur</w:t>
            </w:r>
          </w:p>
        </w:tc>
      </w:tr>
    </w:tbl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3. Calendrier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Moment</w:t>
            </w:r>
          </w:p>
        </w:tc>
        <w:tc>
          <w:tcPr>
            <w:tcW w:type="dxa" w:w="4873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Mise en service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Hébergement + lecture seule + </w:t>
            </w:r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première requête JSON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 validée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Chaque mois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Mise à jour des tables, relance de la requête, publication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Chaque année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Liens, contacts, mention RGPD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Passage Grist / SQL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Recopie des tables, écriture de la requête, abandon de l’Excel au quotidien</w:t>
            </w:r>
          </w:p>
        </w:tc>
      </w:tr>
    </w:tbl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Pas d’astreinte. Pas de serveur applicatif à « redémarrer » pour le site statique. La base SQL, si elle existe, est un outil de </w:t>
      </w:r>
      <w:r>
        <w:rPr>
          <w:rFonts w:ascii="Calibri" w:hAnsi="Calibri" w:eastAsia="Calibri"/>
          <w:b/>
          <w:i w:val="0"/>
          <w:color w:val="1C1A1B"/>
          <w:sz w:val="22"/>
        </w:rPr>
        <w:t>back-office</w:t>
      </w:r>
      <w:r>
        <w:rPr>
          <w:rFonts w:ascii="Calibri" w:hAnsi="Calibri" w:eastAsia="Calibri"/>
          <w:b w:val="0"/>
          <w:i w:val="0"/>
          <w:color w:val="1C1A1B"/>
          <w:sz w:val="22"/>
        </w:rPr>
        <w:t>, pas le site public.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4. Besoins pour la mise en œuvre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Côté métier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Temps PUI pour valider et saisir les fiches.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Règle claire : le site </w:t>
      </w:r>
      <w:r>
        <w:rPr>
          <w:rFonts w:ascii="Calibri" w:hAnsi="Calibri" w:eastAsia="Calibri"/>
          <w:b/>
          <w:i w:val="0"/>
          <w:color w:val="1C1A1B"/>
          <w:sz w:val="22"/>
        </w:rPr>
        <w:t>montre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, le maître </w:t>
      </w:r>
      <w:r>
        <w:rPr>
          <w:rFonts w:ascii="Calibri" w:hAnsi="Calibri" w:eastAsia="Calibri"/>
          <w:b/>
          <w:i w:val="0"/>
          <w:color w:val="1C1A1B"/>
          <w:sz w:val="22"/>
        </w:rPr>
        <w:t>enregistre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Côté technique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Hébergement HTTPS.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Maître de données + </w:t>
      </w:r>
      <w:r>
        <w:rPr>
          <w:rFonts w:ascii="Calibri" w:hAnsi="Calibri" w:eastAsia="Calibri"/>
          <w:b/>
          <w:i w:val="0"/>
          <w:color w:val="1C1A1B"/>
          <w:sz w:val="22"/>
        </w:rPr>
        <w:t>requête de publication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(SQL si les données sont en base ; sinon équivalent API / export — voir document 03).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Une personne qui maîtrise le </w:t>
      </w:r>
      <w:r>
        <w:rPr>
          <w:rFonts w:ascii="Calibri" w:hAnsi="Calibri" w:eastAsia="Calibri"/>
          <w:b/>
          <w:i w:val="0"/>
          <w:color w:val="1C1A1B"/>
          <w:sz w:val="22"/>
        </w:rPr>
        <w:t>code assisté par IA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pour tenir cette chaîne.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Cadrage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Échange DSI / DPD avant une URL publique (contacts dans les fiches).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5. Ce que l’IA peut (et ne peut pas) faire ici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Elle peut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aider à rédiger la requête SQL (ou l’appel API Grist), assembler le JSON au format du site, masquer l’édition publique, expliquer un fichier.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Elle ne peut pas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décider quelles données personnelles afficher, obtenir l’hébergement Université, ni remplacer le référent qui connaît les formations.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6. En une phrase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On maintient </w:t>
      </w:r>
      <w:r>
        <w:rPr>
          <w:rFonts w:ascii="Calibri" w:hAnsi="Calibri" w:eastAsia="Calibri"/>
          <w:b/>
          <w:i w:val="0"/>
          <w:color w:val="1C1A1B"/>
          <w:sz w:val="22"/>
        </w:rPr>
        <w:t>des tables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; on </w:t>
      </w:r>
      <w:r>
        <w:rPr>
          <w:rFonts w:ascii="Calibri" w:hAnsi="Calibri" w:eastAsia="Calibri"/>
          <w:b/>
          <w:i w:val="0"/>
          <w:color w:val="1C1A1B"/>
          <w:sz w:val="22"/>
        </w:rPr>
        <w:t>interroge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(idéalement en SQL) pour produire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catalog.json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; le site n’est que la vitrine. La compétence technique utile est la </w:t>
      </w:r>
      <w:r>
        <w:rPr>
          <w:rFonts w:ascii="Calibri" w:hAnsi="Calibri" w:eastAsia="Calibri"/>
          <w:b/>
          <w:i w:val="0"/>
          <w:color w:val="1C1A1B"/>
          <w:sz w:val="22"/>
        </w:rPr>
        <w:t>maîtrise du code assisté par IA</w:t>
      </w:r>
      <w:r>
        <w:rPr>
          <w:rFonts w:ascii="Calibri" w:hAnsi="Calibri" w:eastAsia="Calibri"/>
          <w:b w:val="0"/>
          <w:i w:val="0"/>
          <w:color w:val="1C1A1B"/>
          <w:sz w:val="22"/>
        </w:rPr>
        <w:t>, pas une équipe de développement permanente.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i w:val="0"/>
        <w:color w:val="63003C"/>
        <w:sz w:val="18"/>
      </w:rPr>
      <w:t>Université Paris-Saclay  ·  Catalogue de ressources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