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        <Relationships xmlns="http://schemas.openxmlformats.org/package/2006/relationships">
          <Relationship Id="rId1" Type="http://schemas.openxmlformats.org/officeDocument/2006/relationships/officeDocument" Target="word/document.xml"/>
          <Relationship Id="rId2" Type="http://schemas.openxmlformats.org/package/2006/relationships/metadata/core-properties" Target="docProps/core.xml"/>
          <Relationship Id="rId3" Type="http://schemas.openxmlformats.org/officeDocument/2006/relationships/extended-properties" Target="docProps/app.xml"/>
        </Relationships>
        
</file>

<file path=word/document.xml><?xml version="1.0" encoding="utf-8"?>
<w:document xmlns:w="http://schemas.openxmlformats.org/wordprocessingml/2006/main">
  <w:body>
    <w:p>
      <w:pPr>
        <w:pStyle w:val="Heading1"/>
      </w:pPr>
      <w:r>
        <w:rPr>
          <w:b/>
          <w:sz w:val="36"/>
          <w:szCs w:val="36"/>
        </w:rPr>
        <w:t>Incrustations — E20</w:t>
      </w:r>
    </w:p>
    <w:p>
      <w:r>
        <w:rPr>
          <w:b/>
        </w:rPr>
        <w:t>Vidéo Expert 20 — Concilier recherche et engagement dans l'innovation. Double casquette, gouvernance, impartialité, évolution du métier de chercheur.</w:t>
      </w:r>
    </w:p>
    <w:p>
      <w:r>
        <w:rPr>
          <w:b/>
        </w:rPr>
        <w:t xml:space="preserve">Objectif de la vidéo. </w:t>
      </w:r>
      <w:r>
        <w:rPr/>
        <w:t>Concilier recherche et engagement dans l'innovation. Double casquette, gouvernance, impartialité, évolution du métier de chercheur.</w:t>
      </w:r>
    </w:p>
    <w:p>
      <w:r>
        <w:rPr>
          <w:sz w:val="21"/>
          <w:szCs w:val="21"/>
          <w:color w:val="5C6B7A"/>
        </w:rPr>
        <w:t>6 propositions · durée 03:57</w:t>
      </w:r>
    </w:p>
    <w:p>
      <w:r>
        <w:rPr>
          <w:sz w:val="21"/>
          <w:szCs w:val="21"/>
          <w:color w:val="5C6B7A"/>
        </w:rPr>
        <w:t>Le texte à l’écran n’est pas le verbatim. Motion faible : mot-clé (1 à 4 mots), acronyme développé à la première rencontre, ou petit schéma (2 à 4 nœuds). Les sous-titres d’accessibilité restent séparés.</w:t>
      </w:r>
    </w:p>
    <w:p>
      <w:pPr>
        <w:pStyle w:val="Heading2"/>
      </w:pPr>
      <w:r>
        <w:rPr>
          <w:b/>
          <w:sz w:val="26"/>
          <w:szCs w:val="26"/>
        </w:rPr>
        <w:t>Récapitulatif</w:t>
      </w:r>
    </w:p>
    <w:tbl>
      <w:tblPr>
        <w:tblW w:w="5000" w:type="pct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2409"/>
        <w:gridCol w:w="2409"/>
        <w:gridCol w:w="2409"/>
        <w:gridCol w:w="2409"/>
      </w:tblGrid>
      <w:tr>
        <w:tc>
          <w:tcPr>
            <w:shd w:val="clear" w:fill="E2E8F0"/>
          </w:tcPr>
          <w:p>
            <w:r>
              <w:rPr>
                <w:b/>
                <w:sz w:val="21"/>
                <w:szCs w:val="21"/>
              </w:rPr>
              <w:t>n°</w:t>
            </w:r>
          </w:p>
        </w:tc>
        <w:tc>
          <w:tcPr>
            <w:shd w:val="clear" w:fill="E2E8F0"/>
          </w:tcPr>
          <w:p>
            <w:r>
              <w:rPr>
                <w:b/>
                <w:sz w:val="21"/>
                <w:szCs w:val="21"/>
              </w:rPr>
              <w:t>Timecode</w:t>
            </w:r>
          </w:p>
        </w:tc>
        <w:tc>
          <w:tcPr>
            <w:shd w:val="clear" w:fill="E2E8F0"/>
          </w:tcPr>
          <w:p>
            <w:r>
              <w:rPr>
                <w:b/>
                <w:sz w:val="21"/>
                <w:szCs w:val="21"/>
              </w:rPr>
              <w:t>Type</w:t>
            </w:r>
          </w:p>
        </w:tc>
        <w:tc>
          <w:tcPr>
            <w:shd w:val="clear" w:fill="E2E8F0"/>
          </w:tcPr>
          <w:p>
            <w:r>
              <w:rPr>
                <w:b/>
                <w:sz w:val="21"/>
                <w:szCs w:val="21"/>
              </w:rPr>
              <w:t>À l’écran</w:t>
            </w:r>
          </w:p>
        </w:tc>
      </w:tr>
      <w:tr>
        <w:tc>
          <w:tcPr/>
          <w:p>
            <w:r>
              <w:rPr>
                <w:sz w:val="21"/>
                <w:szCs w:val="21"/>
              </w:rPr>
              <w:t>1</w:t>
            </w:r>
          </w:p>
        </w:tc>
        <w:tc>
          <w:tcPr/>
          <w:p>
            <w:r>
              <w:rPr>
                <w:sz w:val="21"/>
                <w:szCs w:val="21"/>
              </w:rPr>
              <w:t>00:00:20</w:t>
            </w:r>
          </w:p>
        </w:tc>
        <w:tc>
          <w:tcPr/>
          <w:p>
            <w:r>
              <w:rPr>
                <w:sz w:val="21"/>
                <w:szCs w:val="21"/>
              </w:rPr>
              <w:t>Mot-clé</w:t>
            </w:r>
          </w:p>
        </w:tc>
        <w:tc>
          <w:tcPr/>
          <w:p>
            <w:r>
              <w:rPr>
                <w:sz w:val="21"/>
                <w:szCs w:val="21"/>
              </w:rPr>
              <w:t>Enrichir le métier</w:t>
            </w:r>
          </w:p>
        </w:tc>
      </w:tr>
      <w:tr>
        <w:tc>
          <w:tcPr/>
          <w:p>
            <w:r>
              <w:rPr>
                <w:sz w:val="21"/>
                <w:szCs w:val="21"/>
              </w:rPr>
              <w:t>2</w:t>
            </w:r>
          </w:p>
        </w:tc>
        <w:tc>
          <w:tcPr/>
          <w:p>
            <w:r>
              <w:rPr>
                <w:sz w:val="21"/>
                <w:szCs w:val="21"/>
              </w:rPr>
              <w:t>00:01:15</w:t>
            </w:r>
          </w:p>
        </w:tc>
        <w:tc>
          <w:tcPr/>
          <w:p>
            <w:r>
              <w:rPr>
                <w:sz w:val="21"/>
                <w:szCs w:val="21"/>
              </w:rPr>
              <w:t>Mot-clé</w:t>
            </w:r>
          </w:p>
        </w:tc>
        <w:tc>
          <w:tcPr/>
          <w:p>
            <w:r>
              <w:rPr>
                <w:sz w:val="21"/>
                <w:szCs w:val="21"/>
              </w:rPr>
              <w:t>Intégrateur social</w:t>
            </w:r>
          </w:p>
        </w:tc>
      </w:tr>
      <w:tr>
        <w:tc>
          <w:tcPr/>
          <w:p>
            <w:r>
              <w:rPr>
                <w:sz w:val="21"/>
                <w:szCs w:val="21"/>
              </w:rPr>
              <w:t>3</w:t>
            </w:r>
          </w:p>
        </w:tc>
        <w:tc>
          <w:tcPr/>
          <w:p>
            <w:r>
              <w:rPr>
                <w:sz w:val="21"/>
                <w:szCs w:val="21"/>
              </w:rPr>
              <w:t>00:01:45</w:t>
            </w:r>
          </w:p>
        </w:tc>
        <w:tc>
          <w:tcPr/>
          <w:p>
            <w:r>
              <w:rPr>
                <w:sz w:val="21"/>
                <w:szCs w:val="21"/>
              </w:rPr>
              <w:t>Petit schéma</w:t>
            </w:r>
          </w:p>
        </w:tc>
        <w:tc>
          <w:tcPr/>
          <w:p>
            <w:r>
              <w:rPr>
                <w:sz w:val="21"/>
                <w:szCs w:val="21"/>
              </w:rPr>
              <w:t>Double posture</w:t>
            </w:r>
          </w:p>
        </w:tc>
      </w:tr>
      <w:tr>
        <w:tc>
          <w:tcPr/>
          <w:p>
            <w:r>
              <w:rPr>
                <w:sz w:val="21"/>
                <w:szCs w:val="21"/>
              </w:rPr>
              <w:t>4</w:t>
            </w:r>
          </w:p>
        </w:tc>
        <w:tc>
          <w:tcPr/>
          <w:p>
            <w:r>
              <w:rPr>
                <w:sz w:val="21"/>
                <w:szCs w:val="21"/>
              </w:rPr>
              <w:t>00:01:52</w:t>
            </w:r>
          </w:p>
        </w:tc>
        <w:tc>
          <w:tcPr/>
          <w:p>
            <w:r>
              <w:rPr>
                <w:sz w:val="21"/>
                <w:szCs w:val="21"/>
              </w:rPr>
              <w:t>Mot-clé</w:t>
            </w:r>
          </w:p>
        </w:tc>
        <w:tc>
          <w:tcPr/>
          <w:p>
            <w:r>
              <w:rPr>
                <w:sz w:val="21"/>
                <w:szCs w:val="21"/>
              </w:rPr>
              <w:t>Impartialité</w:t>
            </w:r>
          </w:p>
        </w:tc>
      </w:tr>
      <w:tr>
        <w:tc>
          <w:tcPr/>
          <w:p>
            <w:r>
              <w:rPr>
                <w:sz w:val="21"/>
                <w:szCs w:val="21"/>
              </w:rPr>
              <w:t>5</w:t>
            </w:r>
          </w:p>
        </w:tc>
        <w:tc>
          <w:tcPr/>
          <w:p>
            <w:r>
              <w:rPr>
                <w:sz w:val="21"/>
                <w:szCs w:val="21"/>
              </w:rPr>
              <w:t>00:03:05</w:t>
            </w:r>
          </w:p>
        </w:tc>
        <w:tc>
          <w:tcPr/>
          <w:p>
            <w:r>
              <w:rPr>
                <w:sz w:val="21"/>
                <w:szCs w:val="21"/>
              </w:rPr>
              <w:t>Petit schéma</w:t>
            </w:r>
          </w:p>
        </w:tc>
        <w:tc>
          <w:tcPr/>
          <w:p>
            <w:r>
              <w:rPr>
                <w:sz w:val="21"/>
                <w:szCs w:val="21"/>
              </w:rPr>
              <w:t>Deux temporalités</w:t>
            </w:r>
          </w:p>
        </w:tc>
      </w:tr>
      <w:tr>
        <w:tc>
          <w:tcPr/>
          <w:p>
            <w:r>
              <w:rPr>
                <w:sz w:val="21"/>
                <w:szCs w:val="21"/>
              </w:rPr>
              <w:t>6</w:t>
            </w:r>
          </w:p>
        </w:tc>
        <w:tc>
          <w:tcPr/>
          <w:p>
            <w:r>
              <w:rPr>
                <w:sz w:val="21"/>
                <w:szCs w:val="21"/>
              </w:rPr>
              <w:t>00:03:35</w:t>
            </w:r>
          </w:p>
        </w:tc>
        <w:tc>
          <w:tcPr/>
          <w:p>
            <w:r>
              <w:rPr>
                <w:sz w:val="21"/>
                <w:szCs w:val="21"/>
              </w:rPr>
              <w:t>Mot-clé</w:t>
            </w:r>
          </w:p>
        </w:tc>
        <w:tc>
          <w:tcPr/>
          <w:p>
            <w:r>
              <w:rPr>
                <w:sz w:val="21"/>
                <w:szCs w:val="21"/>
              </w:rPr>
              <w:t>Pas renoncer</w:t>
            </w:r>
          </w:p>
        </w:tc>
      </w:tr>
    </w:tbl>
    <w:p>
      <w:r>
        <w:rPr/>
        <w:t/>
      </w:r>
    </w:p>
    <w:p>
      <w:pPr>
        <w:pStyle w:val="Heading2"/>
      </w:pPr>
      <w:r>
        <w:rPr>
          <w:b/>
          <w:sz w:val="26"/>
          <w:szCs w:val="26"/>
        </w:rPr>
        <w:t>Fiches</w:t>
      </w:r>
    </w:p>
    <w:p>
      <w:pPr>
        <w:pStyle w:val="Heading2"/>
      </w:pPr>
      <w:r>
        <w:rPr>
          <w:b/>
          <w:sz w:val="26"/>
          <w:szCs w:val="26"/>
        </w:rPr>
        <w:t>1. 00:00:20–00:00:29 — Mot-clé</w:t>
      </w:r>
    </w:p>
    <w:p>
      <w:r>
        <w:rPr>
          <w:b/>
          <w:sz w:val="28"/>
          <w:szCs w:val="28"/>
        </w:rPr>
        <w:t>Enrichir le métier</w:t>
      </w:r>
    </w:p>
    <w:tbl>
      <w:tblPr>
        <w:tblW w:w="5000" w:type="pct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819"/>
        <w:gridCol w:w="4819"/>
      </w:tblGrid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Horodatage</w:t>
            </w:r>
          </w:p>
        </w:tc>
        <w:tc>
          <w:tcPr/>
          <w:p>
            <w:r>
              <w:rPr>
                <w:sz w:val="21"/>
                <w:szCs w:val="21"/>
              </w:rPr>
              <w:t>00:00:20–00:00:29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Type</w:t>
            </w:r>
          </w:p>
        </w:tc>
        <w:tc>
          <w:tcPr/>
          <w:p>
            <w:r>
              <w:rPr>
                <w:sz w:val="21"/>
                <w:szCs w:val="21"/>
              </w:rPr>
              <w:t>Mot-clé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À l’écran</w:t>
            </w:r>
          </w:p>
        </w:tc>
        <w:tc>
          <w:tcPr/>
          <w:p>
            <w:r>
              <w:rPr>
                <w:sz w:val="21"/>
                <w:szCs w:val="21"/>
              </w:rPr>
              <w:t>Enrichir le métier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Voix</w:t>
            </w:r>
          </w:p>
        </w:tc>
        <w:tc>
          <w:tcPr/>
          <w:p>
            <w:r>
              <w:rPr>
                <w:sz w:val="21"/>
                <w:szCs w:val="21"/>
              </w:rPr>
              <w:t>Bernard Yannou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Verbatim</w:t>
            </w:r>
          </w:p>
        </w:tc>
        <w:tc>
          <w:tcPr/>
          <w:p>
            <w:r>
              <w:rPr>
                <w:sz w:val="21"/>
                <w:szCs w:val="21"/>
              </w:rPr>
              <w:t>Ces témoignages dessinent plusieurs manières d'enrichir le métier de chercheurs, sans le renier, et de donner à la recherche une portée plus concrète.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Pourquoi</w:t>
            </w:r>
          </w:p>
        </w:tc>
        <w:tc>
          <w:tcPr/>
          <w:p>
            <w:r>
              <w:rPr>
                <w:sz w:val="21"/>
                <w:szCs w:val="21"/>
              </w:rPr>
              <w:t>Objectif E20 : pas une reconversion.</w:t>
            </w:r>
          </w:p>
        </w:tc>
      </w:tr>
    </w:tbl>
    <w:p>
      <w:r>
        <w:rPr/>
        <w:t/>
      </w:r>
    </w:p>
    <w:p>
      <w:pPr>
        <w:pStyle w:val="Heading2"/>
      </w:pPr>
      <w:r>
        <w:rPr>
          <w:b/>
          <w:sz w:val="26"/>
          <w:szCs w:val="26"/>
        </w:rPr>
        <w:t>2. 00:01:15–00:01:19 — Mot-clé</w:t>
      </w:r>
    </w:p>
    <w:p>
      <w:r>
        <w:rPr>
          <w:b/>
          <w:sz w:val="28"/>
          <w:szCs w:val="28"/>
        </w:rPr>
        <w:t>Intégrateur social</w:t>
      </w:r>
    </w:p>
    <w:tbl>
      <w:tblPr>
        <w:tblW w:w="5000" w:type="pct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819"/>
        <w:gridCol w:w="4819"/>
      </w:tblGrid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Horodatage</w:t>
            </w:r>
          </w:p>
        </w:tc>
        <w:tc>
          <w:tcPr/>
          <w:p>
            <w:r>
              <w:rPr>
                <w:sz w:val="21"/>
                <w:szCs w:val="21"/>
              </w:rPr>
              <w:t>00:01:15–00:01:19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Type</w:t>
            </w:r>
          </w:p>
        </w:tc>
        <w:tc>
          <w:tcPr/>
          <w:p>
            <w:r>
              <w:rPr>
                <w:sz w:val="21"/>
                <w:szCs w:val="21"/>
              </w:rPr>
              <w:t>Mot-clé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À l’écran</w:t>
            </w:r>
          </w:p>
        </w:tc>
        <w:tc>
          <w:tcPr/>
          <w:p>
            <w:r>
              <w:rPr>
                <w:sz w:val="21"/>
                <w:szCs w:val="21"/>
              </w:rPr>
              <w:t>Intégrateur social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Voix</w:t>
            </w:r>
          </w:p>
        </w:tc>
        <w:tc>
          <w:tcPr/>
          <w:p>
            <w:r>
              <w:rPr>
                <w:sz w:val="21"/>
                <w:szCs w:val="21"/>
              </w:rPr>
              <w:t>Bernard Yannou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Verbatim</w:t>
            </w:r>
          </w:p>
        </w:tc>
        <w:tc>
          <w:tcPr/>
          <w:p>
            <w:r>
              <w:rPr>
                <w:sz w:val="21"/>
                <w:szCs w:val="21"/>
              </w:rPr>
              <w:t>Elle qualifie ainsi l'innovation de «fabuleux intégrateur social».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Pourquoi</w:t>
            </w:r>
          </w:p>
        </w:tc>
        <w:tc>
          <w:tcPr/>
          <w:p>
            <w:r>
              <w:rPr>
                <w:sz w:val="21"/>
                <w:szCs w:val="21"/>
              </w:rPr>
              <w:t>Utilité visible de la recherche.</w:t>
            </w:r>
          </w:p>
        </w:tc>
      </w:tr>
    </w:tbl>
    <w:p>
      <w:r>
        <w:rPr/>
        <w:t/>
      </w:r>
    </w:p>
    <w:p>
      <w:pPr>
        <w:pStyle w:val="Heading2"/>
      </w:pPr>
      <w:r>
        <w:rPr>
          <w:b/>
          <w:sz w:val="26"/>
          <w:szCs w:val="26"/>
        </w:rPr>
        <w:t>3. 00:01:45–00:01:52 — Petit schéma</w:t>
      </w:r>
    </w:p>
    <w:p>
      <w:r>
        <w:rPr>
          <w:b/>
          <w:sz w:val="28"/>
          <w:szCs w:val="28"/>
        </w:rPr>
        <w:t>Double posture</w:t>
      </w:r>
    </w:p>
    <w:tbl>
      <w:tblPr>
        <w:tblW w:w="5000" w:type="pct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819"/>
        <w:gridCol w:w="4819"/>
      </w:tblGrid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Horodatage</w:t>
            </w:r>
          </w:p>
        </w:tc>
        <w:tc>
          <w:tcPr/>
          <w:p>
            <w:r>
              <w:rPr>
                <w:sz w:val="21"/>
                <w:szCs w:val="21"/>
              </w:rPr>
              <w:t>00:01:45–00:01:52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Type</w:t>
            </w:r>
          </w:p>
        </w:tc>
        <w:tc>
          <w:tcPr/>
          <w:p>
            <w:r>
              <w:rPr>
                <w:sz w:val="21"/>
                <w:szCs w:val="21"/>
              </w:rPr>
              <w:t>Petit schéma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À l’écran</w:t>
            </w:r>
          </w:p>
        </w:tc>
        <w:tc>
          <w:tcPr/>
          <w:p>
            <w:r>
              <w:rPr>
                <w:sz w:val="21"/>
                <w:szCs w:val="21"/>
              </w:rPr>
              <w:t>Double posture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Schéma (nœuds)</w:t>
            </w:r>
          </w:p>
        </w:tc>
        <w:tc>
          <w:tcPr/>
          <w:p>
            <w:r>
              <w:rPr>
                <w:sz w:val="21"/>
                <w:szCs w:val="21"/>
              </w:rPr>
              <w:t>Labo + entreprise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Voix</w:t>
            </w:r>
          </w:p>
        </w:tc>
        <w:tc>
          <w:tcPr/>
          <w:p>
            <w:r>
              <w:rPr>
                <w:sz w:val="21"/>
                <w:szCs w:val="21"/>
              </w:rPr>
              <w:t>Bernard Yannou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Verbatim</w:t>
            </w:r>
          </w:p>
        </w:tc>
        <w:tc>
          <w:tcPr/>
          <w:p>
            <w:r>
              <w:rPr>
                <w:sz w:val="21"/>
                <w:szCs w:val="21"/>
              </w:rPr>
              <w:t>Loïc Rajoux, par exemple, participe au comité scientifique de l'entreprise tout en conservant ses fonctions d'enseignant-chercheur.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Pourquoi</w:t>
            </w:r>
          </w:p>
        </w:tc>
        <w:tc>
          <w:tcPr/>
          <w:p>
            <w:r>
              <w:rPr>
                <w:sz w:val="21"/>
                <w:szCs w:val="21"/>
              </w:rPr>
              <w:t>Articuler les casquettes.</w:t>
            </w:r>
          </w:p>
        </w:tc>
      </w:tr>
    </w:tbl>
    <w:p>
      <w:r>
        <w:rPr/>
        <w:t/>
      </w:r>
    </w:p>
    <w:p>
      <w:pPr>
        <w:pStyle w:val="Heading2"/>
      </w:pPr>
      <w:r>
        <w:rPr>
          <w:b/>
          <w:sz w:val="26"/>
          <w:szCs w:val="26"/>
        </w:rPr>
        <w:t>4. 00:01:52–00:02:01 — Mot-clé</w:t>
      </w:r>
    </w:p>
    <w:p>
      <w:r>
        <w:rPr>
          <w:b/>
          <w:sz w:val="28"/>
          <w:szCs w:val="28"/>
        </w:rPr>
        <w:t>Impartialité</w:t>
      </w:r>
    </w:p>
    <w:tbl>
      <w:tblPr>
        <w:tblW w:w="5000" w:type="pct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819"/>
        <w:gridCol w:w="4819"/>
      </w:tblGrid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Horodatage</w:t>
            </w:r>
          </w:p>
        </w:tc>
        <w:tc>
          <w:tcPr/>
          <w:p>
            <w:r>
              <w:rPr>
                <w:sz w:val="21"/>
                <w:szCs w:val="21"/>
              </w:rPr>
              <w:t>00:01:52–00:02:01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Type</w:t>
            </w:r>
          </w:p>
        </w:tc>
        <w:tc>
          <w:tcPr/>
          <w:p>
            <w:r>
              <w:rPr>
                <w:sz w:val="21"/>
                <w:szCs w:val="21"/>
              </w:rPr>
              <w:t>Mot-clé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À l’écran</w:t>
            </w:r>
          </w:p>
        </w:tc>
        <w:tc>
          <w:tcPr/>
          <w:p>
            <w:r>
              <w:rPr>
                <w:sz w:val="21"/>
                <w:szCs w:val="21"/>
              </w:rPr>
              <w:t>Impartialité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Voix</w:t>
            </w:r>
          </w:p>
        </w:tc>
        <w:tc>
          <w:tcPr/>
          <w:p>
            <w:r>
              <w:rPr>
                <w:sz w:val="21"/>
                <w:szCs w:val="21"/>
              </w:rPr>
              <w:t>Bernard Yannou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Verbatim</w:t>
            </w:r>
          </w:p>
        </w:tc>
        <w:tc>
          <w:tcPr/>
          <w:p>
            <w:r>
              <w:rPr>
                <w:sz w:val="21"/>
                <w:szCs w:val="21"/>
              </w:rPr>
              <w:t>Cette double posture est possible à condition de préserver son impartialité et de distinguer clairement ses responsabilités académiques de celles exercées auprès de l'entreprise.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Pourquoi</w:t>
            </w:r>
          </w:p>
        </w:tc>
        <w:tc>
          <w:tcPr/>
          <w:p>
            <w:r>
              <w:rPr>
                <w:sz w:val="21"/>
                <w:szCs w:val="21"/>
              </w:rPr>
              <w:t>Condition de la double casquette.</w:t>
            </w:r>
          </w:p>
        </w:tc>
      </w:tr>
    </w:tbl>
    <w:p>
      <w:r>
        <w:rPr/>
        <w:t/>
      </w:r>
    </w:p>
    <w:p>
      <w:pPr>
        <w:pStyle w:val="Heading2"/>
      </w:pPr>
      <w:r>
        <w:rPr>
          <w:b/>
          <w:sz w:val="26"/>
          <w:szCs w:val="26"/>
        </w:rPr>
        <w:t>5. 00:03:05–00:03:09 — Petit schéma</w:t>
      </w:r>
    </w:p>
    <w:p>
      <w:r>
        <w:rPr>
          <w:b/>
          <w:sz w:val="28"/>
          <w:szCs w:val="28"/>
        </w:rPr>
        <w:t>Deux temporalités</w:t>
      </w:r>
    </w:p>
    <w:tbl>
      <w:tblPr>
        <w:tblW w:w="5000" w:type="pct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819"/>
        <w:gridCol w:w="4819"/>
      </w:tblGrid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Horodatage</w:t>
            </w:r>
          </w:p>
        </w:tc>
        <w:tc>
          <w:tcPr/>
          <w:p>
            <w:r>
              <w:rPr>
                <w:sz w:val="21"/>
                <w:szCs w:val="21"/>
              </w:rPr>
              <w:t>00:03:05–00:03:09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Type</w:t>
            </w:r>
          </w:p>
        </w:tc>
        <w:tc>
          <w:tcPr/>
          <w:p>
            <w:r>
              <w:rPr>
                <w:sz w:val="21"/>
                <w:szCs w:val="21"/>
              </w:rPr>
              <w:t>Petit schéma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À l’écran</w:t>
            </w:r>
          </w:p>
        </w:tc>
        <w:tc>
          <w:tcPr/>
          <w:p>
            <w:r>
              <w:rPr>
                <w:sz w:val="21"/>
                <w:szCs w:val="21"/>
              </w:rPr>
              <w:t>Deux temporalités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Schéma (nœuds)</w:t>
            </w:r>
          </w:p>
        </w:tc>
        <w:tc>
          <w:tcPr/>
          <w:p>
            <w:r>
              <w:rPr>
                <w:sz w:val="21"/>
                <w:szCs w:val="21"/>
              </w:rPr>
              <w:t>Recherche ≠ marché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Voix</w:t>
            </w:r>
          </w:p>
        </w:tc>
        <w:tc>
          <w:tcPr/>
          <w:p>
            <w:r>
              <w:rPr>
                <w:sz w:val="21"/>
                <w:szCs w:val="21"/>
              </w:rPr>
              <w:t>Bernard Yannou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Verbatim</w:t>
            </w:r>
          </w:p>
        </w:tc>
        <w:tc>
          <w:tcPr/>
          <w:p>
            <w:r>
              <w:rPr>
                <w:sz w:val="21"/>
                <w:szCs w:val="21"/>
              </w:rPr>
              <w:t>Le temps long de la recherche n'est pas toujours celui du marché.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Pourquoi</w:t>
            </w:r>
          </w:p>
        </w:tc>
        <w:tc>
          <w:tcPr/>
          <w:p>
            <w:r>
              <w:rPr>
                <w:sz w:val="21"/>
                <w:szCs w:val="21"/>
              </w:rPr>
              <w:t>Ce qu’il faut concilier.</w:t>
            </w:r>
          </w:p>
        </w:tc>
      </w:tr>
    </w:tbl>
    <w:p>
      <w:r>
        <w:rPr/>
        <w:t/>
      </w:r>
    </w:p>
    <w:p>
      <w:pPr>
        <w:pStyle w:val="Heading2"/>
      </w:pPr>
      <w:r>
        <w:rPr>
          <w:b/>
          <w:sz w:val="26"/>
          <w:szCs w:val="26"/>
        </w:rPr>
        <w:t>6. 00:03:35–00:03:40 — Mot-clé</w:t>
      </w:r>
    </w:p>
    <w:p>
      <w:r>
        <w:rPr>
          <w:b/>
          <w:sz w:val="28"/>
          <w:szCs w:val="28"/>
        </w:rPr>
        <w:t>Pas renoncer</w:t>
      </w:r>
    </w:p>
    <w:tbl>
      <w:tblPr>
        <w:tblW w:w="5000" w:type="pct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819"/>
        <w:gridCol w:w="4819"/>
      </w:tblGrid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Horodatage</w:t>
            </w:r>
          </w:p>
        </w:tc>
        <w:tc>
          <w:tcPr/>
          <w:p>
            <w:r>
              <w:rPr>
                <w:sz w:val="21"/>
                <w:szCs w:val="21"/>
              </w:rPr>
              <w:t>00:03:35–00:03:40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Type</w:t>
            </w:r>
          </w:p>
        </w:tc>
        <w:tc>
          <w:tcPr/>
          <w:p>
            <w:r>
              <w:rPr>
                <w:sz w:val="21"/>
                <w:szCs w:val="21"/>
              </w:rPr>
              <w:t>Mot-clé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À l’écran</w:t>
            </w:r>
          </w:p>
        </w:tc>
        <w:tc>
          <w:tcPr/>
          <w:p>
            <w:r>
              <w:rPr>
                <w:sz w:val="21"/>
                <w:szCs w:val="21"/>
              </w:rPr>
              <w:t>Pas renoncer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Voix</w:t>
            </w:r>
          </w:p>
        </w:tc>
        <w:tc>
          <w:tcPr/>
          <w:p>
            <w:r>
              <w:rPr>
                <w:sz w:val="21"/>
                <w:szCs w:val="21"/>
              </w:rPr>
              <w:t>Bernard Yannou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Verbatim</w:t>
            </w:r>
          </w:p>
        </w:tc>
        <w:tc>
          <w:tcPr/>
          <w:p>
            <w:r>
              <w:rPr>
                <w:sz w:val="21"/>
                <w:szCs w:val="21"/>
              </w:rPr>
              <w:t>Entreprendre à partir de ses recherches, ce n'est donc pas renoncer à être chercheur.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Pourquoi</w:t>
            </w:r>
          </w:p>
        </w:tc>
        <w:tc>
          <w:tcPr/>
          <w:p>
            <w:r>
              <w:rPr>
                <w:sz w:val="21"/>
                <w:szCs w:val="21"/>
              </w:rPr>
              <w:t>Message de clôture.</w:t>
            </w:r>
          </w:p>
        </w:tc>
      </w:tr>
    </w:tbl>
    <w:p>
      <w:r>
        <w:rPr/>
        <w:t/>
      </w:r>
    </w:p>
    <w:sectPr>
      <w:pgSz w:w="11906" w:h="16838"/>
      <w:pgMar w:top="1134" w:right="1134" w:bottom="1134" w:left="1134"/>
    </w:sectPr>
  </w:body>
</w:document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Calibri" w:hAnsi="Calibri"/>
      <w:sz w:val="22"/>
    </w:rPr>
  </w:style>
  <w:style w:type="paragraph" w:styleId="Heading1">
    <w:name w:val="heading 1"/>
    <w:basedOn w:val="Normal"/>
    <w:qFormat/>
    <w:pPr>
      <w:outlineLvl w:val="0"/>
    </w:pPr>
    <w:rPr>
      <w:b/>
      <w:sz w:val="36"/>
    </w:rPr>
  </w:style>
  <w:style w:type="paragraph" w:styleId="Heading2">
    <w:name w:val="heading 2"/>
    <w:basedOn w:val="Normal"/>
    <w:qFormat/>
    <w:pPr>
      <w:outlineLvl w:val="1"/>
    </w:pPr>
    <w:rPr>
      <w:b/>
      <w:sz w:val="26"/>
    </w:rPr>
  </w:style>
</w:styles>
</file>

<file path=word/_rels/document.xml.rels><?xml version="1.0" encoding="UTF-8" standalone="yes"?>
        <Relationships xmlns="http://schemas.openxmlformats.org/package/2006/relationships">
          <Relationship Id="rId1" Type="http://schemas.openxmlformats.org/officeDocument/2006/relationships/styles" Target="styles.xml"/>
          <Relationship Id="rId2" Type="http://schemas.openxmlformats.org/officeDocument/2006/relationships/settings" Target="settings.xml"/>
        </Relationships>
        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>
  <dc:title>Incrustations — E20</dc:title>
  <dc:creator>Dérushage chorale</dc:creator>
</cp:coreProperties>
</file>