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        <Relationships xmlns="http://schemas.openxmlformats.org/package/2006/relationships">
          <Relationship Id="rId1" Type="http://schemas.openxmlformats.org/officeDocument/2006/relationships/officeDocument" Target="word/document.xml"/>
          <Relationship Id="rId2" Type="http://schemas.openxmlformats.org/package/2006/relationships/metadata/core-properties" Target="docProps/core.xml"/>
          <Relationship Id="rId3" Type="http://schemas.openxmlformats.org/officeDocument/2006/relationships/extended-properties" Target="docProps/app.xml"/>
        </Relationships>
        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6"/>
          <w:szCs w:val="36"/>
        </w:rPr>
        <w:t>Incrustations — E20</w:t>
      </w:r>
    </w:p>
    <w:p>
      <w:r>
        <w:rPr>
          <w:b/>
        </w:rPr>
        <w:t>Vidéo Expert 20 — Concilier recherche et engagement dans l'innovation. Double casquette, gouvernance, impartialité, évolution du métier de chercheur.</w:t>
      </w:r>
    </w:p>
    <w:p>
      <w:r>
        <w:rPr>
          <w:b/>
        </w:rPr>
        <w:t xml:space="preserve">Objectif de la vidéo. </w:t>
      </w:r>
      <w:r>
        <w:rPr/>
        <w:t>Concilier recherche et engagement dans l'innovation. Double casquette, gouvernance, impartialité, évolution du métier de chercheur.</w:t>
      </w:r>
    </w:p>
    <w:p>
      <w:r>
        <w:rPr>
          <w:sz w:val="21"/>
          <w:szCs w:val="21"/>
          <w:color w:val="5C6B7A"/>
        </w:rPr>
        <w:t>6 propositions · durée 03:57</w:t>
      </w:r>
    </w:p>
    <w:p>
      <w:r>
        <w:rPr>
          <w:sz w:val="21"/>
          <w:szCs w:val="21"/>
          <w:color w:val="5C6B7A"/>
        </w:rPr>
        <w:t>Le texte à l’écran n’est pas le verbatim. Motion faible : mot-clé (1 à 4 mots), acronyme développé à la première rencontre, ou petit schéma (2 à 4 nœuds). Les sous-titres d’accessibilité restent séparés.</w:t>
      </w:r>
    </w:p>
    <w:p>
      <w:pPr>
        <w:pStyle w:val="Heading2"/>
      </w:pPr>
      <w:r>
        <w:rPr>
          <w:b/>
          <w:sz w:val="26"/>
          <w:szCs w:val="26"/>
        </w:rPr>
        <w:t>Récapitulatif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9"/>
        <w:gridCol w:w="2409"/>
        <w:gridCol w:w="2409"/>
        <w:gridCol w:w="2409"/>
      </w:tblGrid>
      <w:tr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n°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Timecode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1</w:t>
            </w:r>
          </w:p>
        </w:tc>
        <w:tc>
          <w:tcPr/>
          <w:p>
            <w:r>
              <w:rPr>
                <w:sz w:val="21"/>
                <w:szCs w:val="21"/>
              </w:rPr>
              <w:t>00:00:20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Enrichir le métier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2</w:t>
            </w:r>
          </w:p>
        </w:tc>
        <w:tc>
          <w:tcPr/>
          <w:p>
            <w:r>
              <w:rPr>
                <w:sz w:val="21"/>
                <w:szCs w:val="21"/>
              </w:rPr>
              <w:t>00:01:15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Intégrateur social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3</w:t>
            </w:r>
          </w:p>
        </w:tc>
        <w:tc>
          <w:tcPr/>
          <w:p>
            <w:r>
              <w:rPr>
                <w:sz w:val="21"/>
                <w:szCs w:val="21"/>
              </w:rPr>
              <w:t>00:01:45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  <w:tc>
          <w:tcPr/>
          <w:p>
            <w:r>
              <w:rPr>
                <w:sz w:val="21"/>
                <w:szCs w:val="21"/>
              </w:rPr>
              <w:t>Double posture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4</w:t>
            </w:r>
          </w:p>
        </w:tc>
        <w:tc>
          <w:tcPr/>
          <w:p>
            <w:r>
              <w:rPr>
                <w:sz w:val="21"/>
                <w:szCs w:val="21"/>
              </w:rPr>
              <w:t>00:01:52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Impartialité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5</w:t>
            </w:r>
          </w:p>
        </w:tc>
        <w:tc>
          <w:tcPr/>
          <w:p>
            <w:r>
              <w:rPr>
                <w:sz w:val="21"/>
                <w:szCs w:val="21"/>
              </w:rPr>
              <w:t>00:03:05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  <w:tc>
          <w:tcPr/>
          <w:p>
            <w:r>
              <w:rPr>
                <w:sz w:val="21"/>
                <w:szCs w:val="21"/>
              </w:rPr>
              <w:t>Deux temporalités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6</w:t>
            </w:r>
          </w:p>
        </w:tc>
        <w:tc>
          <w:tcPr/>
          <w:p>
            <w:r>
              <w:rPr>
                <w:sz w:val="21"/>
                <w:szCs w:val="21"/>
              </w:rPr>
              <w:t>00:03:35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Pas renoncer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Fiches</w:t>
      </w:r>
    </w:p>
    <w:p>
      <w:pPr>
        <w:pStyle w:val="Heading2"/>
      </w:pPr>
      <w:r>
        <w:rPr>
          <w:b/>
          <w:sz w:val="26"/>
          <w:szCs w:val="26"/>
        </w:rPr>
        <w:t>1. 00:00:20–00:00:29 — Mot-clé</w:t>
      </w:r>
    </w:p>
    <w:p>
      <w:r>
        <w:rPr>
          <w:b/>
          <w:sz w:val="28"/>
          <w:szCs w:val="28"/>
        </w:rPr>
        <w:t>Enrichir le métier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00:00:20–00:00:29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Enrichir le métier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Bernard Yannou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Ces témoignages dessinent plusieurs manières d'enrichir le métier de chercheurs, sans le renier, et de donner à la recherche une portée plus concrète.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Objectif E20 : pas une reconversion.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2. 00:01:15–00:01:19 — Mot-clé</w:t>
      </w:r>
    </w:p>
    <w:p>
      <w:r>
        <w:rPr>
          <w:b/>
          <w:sz w:val="28"/>
          <w:szCs w:val="28"/>
        </w:rPr>
        <w:t>Intégrateur social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00:01:15–00:01:19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Intégrateur social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Bernard Yannou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Elle qualifie ainsi l'innovation de «fabuleux intégrateur social».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Utilité visible de la recherche.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3. 00:01:45–00:01:52 — Petit schéma</w:t>
      </w:r>
    </w:p>
    <w:p>
      <w:r>
        <w:rPr>
          <w:b/>
          <w:sz w:val="28"/>
          <w:szCs w:val="28"/>
        </w:rPr>
        <w:t>Double posture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00:01:45–00:01:52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Double posture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Schéma (nœuds)</w:t>
            </w:r>
          </w:p>
        </w:tc>
        <w:tc>
          <w:tcPr/>
          <w:p>
            <w:r>
              <w:rPr>
                <w:sz w:val="21"/>
                <w:szCs w:val="21"/>
              </w:rPr>
              <w:t>Labo + entreprise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Bernard Yannou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Loïc Rajoux, par exemple, participe au comité scientifique de l'entreprise tout en conservant ses fonctions d'enseignant-chercheur.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Articuler les casquettes.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4. 00:01:52–00:02:01 — Mot-clé</w:t>
      </w:r>
    </w:p>
    <w:p>
      <w:r>
        <w:rPr>
          <w:b/>
          <w:sz w:val="28"/>
          <w:szCs w:val="28"/>
        </w:rPr>
        <w:t>Impartialité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00:01:52–00:02:01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Impartialité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Bernard Yannou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Cette double posture est possible à condition de préserver son impartialité et de distinguer clairement ses responsabilités académiques de celles exercées auprès de l'entreprise.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Condition de la double casquette.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5. 00:03:05–00:03:09 — Petit schéma</w:t>
      </w:r>
    </w:p>
    <w:p>
      <w:r>
        <w:rPr>
          <w:b/>
          <w:sz w:val="28"/>
          <w:szCs w:val="28"/>
        </w:rPr>
        <w:t>Deux temporalités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00:03:05–00:03:09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Deux temporalités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Schéma (nœuds)</w:t>
            </w:r>
          </w:p>
        </w:tc>
        <w:tc>
          <w:tcPr/>
          <w:p>
            <w:r>
              <w:rPr>
                <w:sz w:val="21"/>
                <w:szCs w:val="21"/>
              </w:rPr>
              <w:t>Recherche ≠ marché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Bernard Yannou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Le temps long de la recherche n'est pas toujours celui du marché.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Ce qu’il faut concilier.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6. 00:03:35–00:03:40 — Mot-clé</w:t>
      </w:r>
    </w:p>
    <w:p>
      <w:r>
        <w:rPr>
          <w:b/>
          <w:sz w:val="28"/>
          <w:szCs w:val="28"/>
        </w:rPr>
        <w:t>Pas renoncer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00:03:35–00:03:40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Pas renoncer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Bernard Yannou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Entreprendre à partir de ses recherches, ce n'est donc pas renoncer à être chercheur.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Message de clôture.</w:t>
            </w:r>
          </w:p>
        </w:tc>
      </w:tr>
    </w:tbl>
    <w:p>
      <w:r>
        <w:rPr/>
        <w:t/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qFormat/>
    <w:pPr>
      <w:outlineLvl w:val="0"/>
    </w:pPr>
    <w:rPr>
      <w:b/>
      <w:sz w:val="36"/>
    </w:rPr>
  </w:style>
  <w:style w:type="paragraph" w:styleId="Heading2">
    <w:name w:val="heading 2"/>
    <w:basedOn w:val="Normal"/>
    <w:qFormat/>
    <w:pPr>
      <w:outlineLvl w:val="1"/>
    </w:pPr>
    <w:rPr>
      <w:b/>
      <w:sz w:val="26"/>
    </w:rPr>
  </w:style>
</w:styles>
</file>

<file path=word/_rels/document.xml.rels><?xml version="1.0" encoding="UTF-8" standalone="yes"?>
        <Relationships xmlns="http://schemas.openxmlformats.org/package/2006/relationships">
          <Relationship Id="rId1" Type="http://schemas.openxmlformats.org/officeDocument/2006/relationships/styles" Target="styles.xml"/>
          <Relationship Id="rId2" Type="http://schemas.openxmlformats.org/officeDocument/2006/relationships/settings" Target="settings.xml"/>
        </Relationships>
        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Incrustations — E20</dc:title>
  <dc:creator>Dérushage chorale</dc:creator>
</cp:coreProperties>
</file>