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Bonnes pratiques — incrustations pédagogiques</w:t>
      </w:r>
    </w:p>
    <w:p>
      <w:r>
        <w:rPr/>
        <w:t>Guide pour l’équipe (motion design faible : mot-clé, acronyme, petit schéma).</w:t>
      </w:r>
    </w:p>
    <w:p>
      <w:r>
        <w:rPr/>
        <w:t>Guide à communiquer à l’équipe motion / pédagogique. Incruster un extrait (2 à 4 nœuds), jamais le schéma complet du fascicule.</w:t>
      </w:r>
    </w:p>
    <w:p>
      <w:pPr>
        <w:pStyle w:val="Heading2"/>
      </w:pPr>
      <w:r>
        <w:rPr>
          <w:b/>
          <w:sz w:val="26"/>
          <w:szCs w:val="26"/>
        </w:rPr>
        <w:t>Principes</w:t>
      </w:r>
    </w:p>
    <w:p>
      <w:pPr>
        <w:pStyle w:val="Heading2"/>
      </w:pPr>
      <w:r>
        <w:rPr>
          <w:b/>
          <w:sz w:val="26"/>
          <w:szCs w:val="26"/>
        </w:rPr>
        <w:t>Signaler, ne pas sous-titrer</w:t>
      </w:r>
    </w:p>
    <w:p>
      <w:r>
        <w:rPr/>
        <w:t>L’incrustation n’est pas le script. Elle pointe ce que l’apprenant doit retenir (un concept, un acronyme, une relation). Mayer : le signaling aide ; la redondance (texte = parole mot pour mot) surcharge le canal visuel, surtout face caméra.</w:t>
      </w:r>
    </w:p>
    <w:p>
      <w:pPr>
        <w:pStyle w:val="Heading2"/>
      </w:pPr>
      <w:r>
        <w:rPr>
          <w:b/>
          <w:sz w:val="26"/>
          <w:szCs w:val="26"/>
        </w:rPr>
        <w:t>Un à quatre mots</w:t>
      </w:r>
    </w:p>
    <w:p>
      <w:r>
        <w:rPr/>
        <w:t>Concept = 1 mot, ou une formule de 3–4 mots maximum. Pas de phrase. Le visage et la voix portent le récit ; l’écran porte l’étiquette.</w:t>
      </w:r>
    </w:p>
    <w:p>
      <w:pPr>
        <w:pStyle w:val="Heading2"/>
      </w:pPr>
      <w:r>
        <w:rPr>
          <w:b/>
          <w:sz w:val="26"/>
          <w:szCs w:val="26"/>
        </w:rPr>
        <w:t>Acronymes : première fois, ou sujet du grain</w:t>
      </w:r>
    </w:p>
    <w:p>
      <w:r>
        <w:rPr/>
        <w:t>À la première rencontre dans le parcours, ou quand l’acronyme est l’objet de la vidéo : afficher le sigle + le développement en plus petit (pré-entraînement). Ensuite, le sigle seul suffit. Exemple : SATT → Société d’accélération du transfert de technologies.</w:t>
      </w:r>
    </w:p>
    <w:p>
      <w:pPr>
        <w:pStyle w:val="Heading2"/>
      </w:pPr>
      <w:r>
        <w:rPr>
          <w:b/>
          <w:sz w:val="26"/>
          <w:szCs w:val="26"/>
        </w:rPr>
        <w:t>Aligné sur l’objectif de la vidéo</w:t>
      </w:r>
    </w:p>
    <w:p>
      <w:r>
        <w:rPr/>
        <w:t>N’incruster que ce qui sert le message pédagogique de ce grain. Un détail biographique, un nom d’entreprise ou une anecdote n’ont pas d’étiquette s’ils n’enseignent pas le concept du module.</w:t>
      </w:r>
    </w:p>
    <w:p>
      <w:pPr>
        <w:pStyle w:val="Heading2"/>
      </w:pPr>
      <w:r>
        <w:rPr>
          <w:b/>
          <w:sz w:val="26"/>
          <w:szCs w:val="26"/>
        </w:rPr>
        <w:t>Peu, au bon moment</w:t>
      </w:r>
    </w:p>
    <w:p>
      <w:r>
        <w:rPr/>
        <w:t>Une incrustation toutes les 30–50 s en moyenne, jamais deux en même temps. Apparition avec le verbatim, disparition avant le concept suivant (contiguité temporelle). Motion faible : fondu, pas d’animation décorative.</w:t>
      </w:r>
    </w:p>
    <w:p>
      <w:pPr>
        <w:pStyle w:val="Heading2"/>
      </w:pPr>
      <w:r>
        <w:rPr>
          <w:b/>
          <w:sz w:val="26"/>
          <w:szCs w:val="26"/>
        </w:rPr>
        <w:t>Petit schéma, pas un slide</w:t>
      </w:r>
    </w:p>
    <w:p>
      <w:r>
        <w:rPr/>
        <w:t>2 à 4 nœuds maximum (flèches, choix A/B). Un schéma remplace un mot-clé quand la relation compte plus que le terme (licence vs création, brevet vs secret, labo → terrain).</w:t>
      </w:r>
    </w:p>
    <w:p>
      <w:pPr>
        <w:pStyle w:val="Heading2"/>
      </w:pPr>
      <w:r>
        <w:rPr>
          <w:b/>
          <w:sz w:val="26"/>
          <w:szCs w:val="26"/>
        </w:rPr>
        <w:t>Réutiliser les schémas des fascicules, en extrait</w:t>
      </w:r>
    </w:p>
    <w:p>
      <w:r>
        <w:rPr/>
        <w:t>Quand un schéma de « Oser pour innover » recouvre l’objectif du grain, on l’incruste — mais jamais en plein écran. Extraire 2 à 4 nœuds, dans le vocabulaire du fascicule. Trop denses face caméra : écosystème Henao (9 groupes), chaîne de valorisation complète, tableau TRL 1–9, tableau des financements. Le PDF reste la référence graphique pour l’équipe motion.</w:t>
      </w:r>
    </w:p>
    <w:p>
      <w:pPr>
        <w:pStyle w:val="Heading2"/>
      </w:pPr>
      <w:r>
        <w:rPr>
          <w:b/>
          <w:sz w:val="26"/>
          <w:szCs w:val="26"/>
        </w:rPr>
        <w:t>Séparer sous-titres et pédagogie</w:t>
      </w:r>
    </w:p>
    <w:p>
      <w:r>
        <w:rPr/>
        <w:t>Les sous-titres d’accessibilité restent en bas, intégraux. Les incrustations pédagogiques sont ailleurs (tiers inférieur opposé, ou coin), plus grandes, plus rares.</w:t>
      </w:r>
    </w:p>
    <w:p>
      <w:pPr>
        <w:pStyle w:val="Heading2"/>
      </w:pPr>
      <w:r>
        <w:rPr>
          <w:b/>
          <w:sz w:val="26"/>
          <w:szCs w:val="26"/>
        </w:rPr>
        <w:t>Conduite pour l’équipe</w:t>
      </w:r>
    </w:p>
    <w:p>
      <w:pPr>
        <w:ind w:left="360"/>
      </w:pPr>
      <w:r>
        <w:rPr/>
        <w:t>• Ne jamais recoller le verbatim à l’écran.</w:t>
      </w:r>
    </w:p>
    <w:p>
      <w:pPr>
        <w:ind w:left="360"/>
      </w:pPr>
      <w:r>
        <w:rPr/>
        <w:t>• Corriger l’ASR des sigles à l’écran (SAT / ASAT / Assad → SATT) sans réécrire la parole.</w:t>
      </w:r>
    </w:p>
    <w:p>
      <w:pPr>
        <w:ind w:left="360"/>
      </w:pPr>
      <w:r>
        <w:rPr/>
        <w:t>• Une incrustation = un objectif de la vidéo, pas un résumé de toute la réplique.</w:t>
      </w:r>
    </w:p>
    <w:p>
      <w:pPr>
        <w:ind w:left="360"/>
      </w:pPr>
      <w:r>
        <w:rPr/>
        <w:t>• Si le chercheur développe déjà l’acronyme à l’oral, l’écran peut n’afficher que le sigle.</w:t>
      </w:r>
    </w:p>
    <w:p>
      <w:pPr>
        <w:ind w:left="360"/>
      </w:pPr>
      <w:r>
        <w:rPr/>
        <w:t>• Tester : muet 3 secondes, le mot à l’écran doit encore dire le concept.</w:t>
      </w:r>
    </w:p>
    <w:p>
      <w:pPr>
        <w:ind w:left="360"/>
      </w:pPr>
      <w:r>
        <w:rPr/>
        <w:t>• Si un schéma du fascicule s’applique : extraire, caler sur le verbatim, renvoyer au PDF (fascicule + page imprimée).</w:t>
      </w:r>
    </w:p>
    <w:p>
      <w:pPr>
        <w:ind w:left="360"/>
      </w:pPr>
      <w:r>
        <w:rPr/>
        <w:t>• Ne pas introduire à l’écran un concept du fascicule (ex. DRL) s’il n’est pas dit dans la vidéo.</w:t>
      </w:r>
    </w:p>
    <w:p>
      <w:pPr>
        <w:pStyle w:val="Heading2"/>
      </w:pPr>
      <w:r>
        <w:rPr>
          <w:b/>
          <w:sz w:val="26"/>
          <w:szCs w:val="26"/>
        </w:rPr>
        <w:t>Sources</w:t>
      </w:r>
    </w:p>
    <w:p>
      <w:pPr>
        <w:ind w:left="360"/>
      </w:pPr>
      <w:r>
        <w:rPr/>
        <w:t>• Mayer — Research-Based Principles for Designing Multimedia Instruction (https://www.unh.edu/teaching-learning-resource-hub/sites/default/files/media/2023-06/itow-research-based-principles-for-designing-multimedia-instruction-mayer.pdf) — Cohérence, redondance, signaling, pré-entraînement, contiguité temporelle.</w:t>
      </w:r>
    </w:p>
    <w:p>
      <w:pPr>
        <w:ind w:left="360"/>
      </w:pPr>
      <w:r>
        <w:rPr/>
        <w:t>• Mayer — Using multimedia for e-learning (2017) (https://onlinelibrary.wiley.com/doi/10.1111/jcal.12197) — Ne pas surcharger le canal visuel ; signaler l’essentiel.</w:t>
      </w:r>
    </w:p>
    <w:p>
      <w:pPr>
        <w:ind w:left="360"/>
      </w:pPr>
      <w:r>
        <w:rPr/>
        <w:t>• Alpizar, Adesope &amp; Wong (2020) — Signaling in multimedia (https://eric.ed.gov/?id=EJ1269127) — Les signaux visuels améliorent l’apprentissage (d ≈ 0,38) s’ils sont sobres.</w:t>
      </w:r>
    </w:p>
    <w:p>
      <w:pPr>
        <w:ind w:left="360"/>
      </w:pPr>
      <w:r>
        <w:rPr/>
        <w:t>• Schneider et al. (2018) — How signaling affects learning with media (https://www.sciencedirect.com/science/article/abs/pii/S1747938X17300581) — Les indices réduisent la charge cognitive ; labels courts plutôt que phrases.</w:t>
      </w:r>
    </w:p>
    <w:p>
      <w:pPr>
        <w:pStyle w:val="Heading2"/>
      </w:pPr>
      <w:r>
        <w:rPr>
          <w:b/>
          <w:sz w:val="26"/>
          <w:szCs w:val="26"/>
        </w:rPr>
        <w:t>Schémas des fascicules — extraits utilisables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Id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Schéma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Source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Extrait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Conduite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F1-INV-INNOV</w:t>
            </w:r>
          </w:p>
        </w:tc>
        <w:tc>
          <w:tcPr/>
          <w:p>
            <w:r>
              <w:rPr>
                <w:sz w:val="21"/>
                <w:szCs w:val="21"/>
              </w:rPr>
              <w:t>Invention ≠ innovation</w:t>
            </w:r>
          </w:p>
        </w:tc>
        <w:tc>
          <w:tcPr/>
          <w:p>
            <w:r>
              <w:rPr>
                <w:sz w:val="21"/>
                <w:szCs w:val="21"/>
              </w:rPr>
              <w:t>F1 p. 7-8</w:t>
            </w:r>
          </w:p>
        </w:tc>
        <w:tc>
          <w:tcPr/>
          <w:p>
            <w:r>
              <w:rPr>
                <w:sz w:val="21"/>
                <w:szCs w:val="21"/>
              </w:rPr>
              <w:t>Invention ≠ Innovation</w:t>
            </w:r>
          </w:p>
        </w:tc>
        <w:tc>
          <w:tcPr/>
          <w:p>
            <w:r>
              <w:rPr>
                <w:sz w:val="21"/>
                <w:szCs w:val="21"/>
              </w:rPr>
              <w:t>Distinction F1 §4.2. Ne pas coller les exemples Edison.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F1-INV-BREVET</w:t>
            </w:r>
          </w:p>
        </w:tc>
        <w:tc>
          <w:tcPr/>
          <w:p>
            <w:r>
              <w:rPr>
                <w:sz w:val="21"/>
                <w:szCs w:val="21"/>
              </w:rPr>
              <w:t>Invention ≠ brevet</w:t>
            </w:r>
          </w:p>
        </w:tc>
        <w:tc>
          <w:tcPr/>
          <w:p>
            <w:r>
              <w:rPr>
                <w:sz w:val="21"/>
                <w:szCs w:val="21"/>
              </w:rPr>
              <w:t>F1 p. 8</w:t>
            </w:r>
          </w:p>
        </w:tc>
        <w:tc>
          <w:tcPr/>
          <w:p>
            <w:r>
              <w:rPr>
                <w:sz w:val="21"/>
                <w:szCs w:val="21"/>
              </w:rPr>
              <w:t>Invention ≠ Brevet</w:t>
            </w:r>
          </w:p>
        </w:tc>
        <w:tc>
          <w:tcPr/>
          <w:p>
            <w:r>
              <w:rPr>
                <w:sz w:val="21"/>
                <w:szCs w:val="21"/>
              </w:rPr>
              <w:t>L’invention est le contenu technique ; le brevet est le titre.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F1-LICENCE-CESSION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  <w:tc>
          <w:tcPr/>
          <w:p>
            <w:r>
              <w:rPr>
                <w:sz w:val="21"/>
                <w:szCs w:val="21"/>
              </w:rPr>
              <w:t>F1 p. 8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  <w:tc>
          <w:tcPr/>
          <w:p>
            <w:r>
              <w:rPr>
                <w:sz w:val="21"/>
                <w:szCs w:val="21"/>
              </w:rPr>
              <w:t>La licence autorise ; la cession transfère la propriété.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F1-PI-BRANCHES</w:t>
            </w:r>
          </w:p>
        </w:tc>
        <w:tc>
          <w:tcPr/>
          <w:p>
            <w:r>
              <w:rPr>
                <w:sz w:val="21"/>
                <w:szCs w:val="21"/>
              </w:rPr>
              <w:t>Deux branches de la PI</w:t>
            </w:r>
          </w:p>
        </w:tc>
        <w:tc>
          <w:tcPr/>
          <w:p>
            <w:r>
              <w:rPr>
                <w:sz w:val="21"/>
                <w:szCs w:val="21"/>
              </w:rPr>
              <w:t>F1 p. 8-9</w:t>
            </w:r>
          </w:p>
        </w:tc>
        <w:tc>
          <w:tcPr/>
          <w:p>
            <w:r>
              <w:rPr>
                <w:sz w:val="21"/>
                <w:szCs w:val="21"/>
              </w:rPr>
              <w:t>Littéraire | Industrielle</w:t>
            </w:r>
          </w:p>
        </w:tc>
        <w:tc>
          <w:tcPr/>
          <w:p>
            <w:r>
              <w:rPr>
                <w:sz w:val="21"/>
                <w:szCs w:val="21"/>
              </w:rPr>
              <w:t>Schéma PI du fascicule 1. Pas le tableau des durées.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F1-PI-TYPES</w:t>
            </w:r>
          </w:p>
        </w:tc>
        <w:tc>
          <w:tcPr/>
          <w:p>
            <w:r>
              <w:rPr>
                <w:sz w:val="21"/>
                <w:szCs w:val="21"/>
              </w:rPr>
              <w:t>Types de protection</w:t>
            </w:r>
          </w:p>
        </w:tc>
        <w:tc>
          <w:tcPr/>
          <w:p>
            <w:r>
              <w:rPr>
                <w:sz w:val="21"/>
                <w:szCs w:val="21"/>
              </w:rPr>
              <w:t>F1 p. 9-10</w:t>
            </w:r>
          </w:p>
        </w:tc>
        <w:tc>
          <w:tcPr/>
          <w:p>
            <w:r>
              <w:rPr>
                <w:sz w:val="21"/>
                <w:szCs w:val="21"/>
              </w:rPr>
              <w:t>Brevet | Secret</w:t>
            </w:r>
          </w:p>
        </w:tc>
        <w:tc>
          <w:tcPr/>
          <w:p>
            <w:r>
              <w:rPr>
                <w:sz w:val="21"/>
                <w:szCs w:val="21"/>
              </w:rPr>
              <w:t>Extrait du tableau p. 9-10 (brevet, secret, marque, dessin, Soleau…). Ne pas incruster le tableau complet.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F1-ECOSYSTEME</w:t>
            </w:r>
          </w:p>
        </w:tc>
        <w:tc>
          <w:tcPr/>
          <w:p>
            <w:r>
              <w:rPr>
                <w:sz w:val="21"/>
                <w:szCs w:val="21"/>
              </w:rPr>
              <w:t>Écosystème de l’innovation (Henao, 2025)</w:t>
            </w:r>
          </w:p>
        </w:tc>
        <w:tc>
          <w:tcPr/>
          <w:p>
            <w:r>
              <w:rPr>
                <w:sz w:val="21"/>
                <w:szCs w:val="21"/>
              </w:rPr>
              <w:t>F1 p. 15</w:t>
            </w:r>
          </w:p>
        </w:tc>
        <w:tc>
          <w:tcPr/>
          <w:p>
            <w:r>
              <w:rPr>
                <w:sz w:val="21"/>
                <w:szCs w:val="21"/>
              </w:rPr>
              <w:t>SATT · Incubateurs · Pôles</w:t>
            </w:r>
          </w:p>
        </w:tc>
        <w:tc>
          <w:tcPr/>
          <w:p>
            <w:r>
              <w:rPr>
                <w:sz w:val="21"/>
                <w:szCs w:val="21"/>
              </w:rPr>
              <w:t>Le schéma complet (9 groupes + Europe / international) est trop dense face caméra. Extraire 3 acteurs du grain.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F2-CYCLE-3</w:t>
            </w:r>
          </w:p>
        </w:tc>
        <w:tc>
          <w:tcPr/>
          <w:p>
            <w:r>
              <w:rPr>
                <w:sz w:val="21"/>
                <w:szCs w:val="21"/>
              </w:rPr>
              <w:t>Cycle de l’innovation — 3 phases</w:t>
            </w:r>
          </w:p>
        </w:tc>
        <w:tc>
          <w:tcPr/>
          <w:p>
            <w:r>
              <w:rPr>
                <w:sz w:val="21"/>
                <w:szCs w:val="21"/>
              </w:rPr>
              <w:t>F2 p. 3-5</w:t>
            </w:r>
          </w:p>
        </w:tc>
        <w:tc>
          <w:tcPr/>
          <w:p>
            <w:r>
              <w:rPr>
                <w:sz w:val="21"/>
                <w:szCs w:val="21"/>
              </w:rPr>
              <w:t>Recherche → Propulsion → Adoption</w:t>
            </w:r>
          </w:p>
        </w:tc>
        <w:tc>
          <w:tcPr/>
          <w:p>
            <w:r>
              <w:rPr>
                <w:sz w:val="21"/>
                <w:szCs w:val="21"/>
              </w:rPr>
              <w:t>Macro du cycle F2. Le schéma complet (idée → impact, 12 nœuds) ne tient pas à l’écran.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F2-CYCLE-AMONT</w:t>
            </w:r>
          </w:p>
        </w:tc>
        <w:tc>
          <w:tcPr/>
          <w:p>
            <w:r>
              <w:rPr>
                <w:sz w:val="21"/>
                <w:szCs w:val="21"/>
              </w:rPr>
              <w:t>Phase amont : recherche → expérimentation</w:t>
            </w:r>
          </w:p>
        </w:tc>
        <w:tc>
          <w:tcPr/>
          <w:p>
            <w:r>
              <w:rPr>
                <w:sz w:val="21"/>
                <w:szCs w:val="21"/>
              </w:rPr>
              <w:t>F2 p. 3</w:t>
            </w:r>
          </w:p>
        </w:tc>
        <w:tc>
          <w:tcPr/>
          <w:p>
            <w:r>
              <w:rPr>
                <w:sz w:val="21"/>
                <w:szCs w:val="21"/>
              </w:rPr>
              <w:t>Idée → Prototype → Expérimentation</w:t>
            </w:r>
          </w:p>
        </w:tc>
        <w:tc>
          <w:tcPr/>
          <w:p>
            <w:r>
              <w:rPr>
                <w:sz w:val="21"/>
                <w:szCs w:val="21"/>
              </w:rPr>
              <w:t>6 nœuds dans le fascicule ; 3 à l’écran.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F2-CHAINE-VALO</w:t>
            </w:r>
          </w:p>
        </w:tc>
        <w:tc>
          <w:tcPr/>
          <w:p>
            <w:r>
              <w:rPr>
                <w:sz w:val="21"/>
                <w:szCs w:val="21"/>
              </w:rPr>
              <w:t>Chaîne de valeur valorisation (Henao, 2025)</w:t>
            </w:r>
          </w:p>
        </w:tc>
        <w:tc>
          <w:tcPr/>
          <w:p>
            <w:r>
              <w:rPr>
                <w:sz w:val="21"/>
                <w:szCs w:val="21"/>
              </w:rPr>
              <w:t>F2 p. 6-7</w:t>
            </w:r>
          </w:p>
        </w:tc>
        <w:tc>
          <w:tcPr/>
          <w:p>
            <w:r>
              <w:rPr>
                <w:sz w:val="21"/>
                <w:szCs w:val="21"/>
              </w:rPr>
              <w:t>Protection → Maturation → Transfert</w:t>
            </w:r>
          </w:p>
        </w:tc>
        <w:tc>
          <w:tcPr/>
          <w:p>
            <w:r>
              <w:rPr>
                <w:sz w:val="21"/>
                <w:szCs w:val="21"/>
              </w:rPr>
              <w:t>Ne pas coller le schéma complet (université / SATT / incubateurs + blocs annexes).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F2-VOIES-TRANSFERT</w:t>
            </w:r>
          </w:p>
        </w:tc>
        <w:tc>
          <w:tcPr/>
          <w:p>
            <w:r>
              <w:rPr>
                <w:sz w:val="21"/>
                <w:szCs w:val="21"/>
              </w:rPr>
              <w:t>Voies de transfert</w:t>
            </w:r>
          </w:p>
        </w:tc>
        <w:tc>
          <w:tcPr/>
          <w:p>
            <w:r>
              <w:rPr>
                <w:sz w:val="21"/>
                <w:szCs w:val="21"/>
              </w:rPr>
              <w:t>F2 p. 6-7</w:t>
            </w:r>
          </w:p>
        </w:tc>
        <w:tc>
          <w:tcPr/>
          <w:p>
            <w:r>
              <w:rPr>
                <w:sz w:val="21"/>
                <w:szCs w:val="21"/>
              </w:rPr>
              <w:t>Licence | Création</w:t>
            </w:r>
          </w:p>
        </w:tc>
        <w:tc>
          <w:tcPr/>
          <w:p>
            <w:r>
              <w:rPr>
                <w:sz w:val="21"/>
                <w:szCs w:val="21"/>
              </w:rPr>
              <w:t>Extrait de la chaîne : création d’entreprises / licences vs transfert vers une société existante.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F2-PUSH-PULL</w:t>
            </w:r>
          </w:p>
        </w:tc>
        <w:tc>
          <w:tcPr/>
          <w:p>
            <w:r>
              <w:rPr>
                <w:sz w:val="21"/>
                <w:szCs w:val="21"/>
              </w:rPr>
              <w:t>Tech-push / market-pull</w:t>
            </w:r>
          </w:p>
        </w:tc>
        <w:tc>
          <w:tcPr/>
          <w:p>
            <w:r>
              <w:rPr>
                <w:sz w:val="21"/>
                <w:szCs w:val="21"/>
              </w:rPr>
              <w:t>F2 p. 6-7</w:t>
            </w:r>
          </w:p>
        </w:tc>
        <w:tc>
          <w:tcPr/>
          <w:p>
            <w:r>
              <w:rPr>
                <w:sz w:val="21"/>
                <w:szCs w:val="21"/>
              </w:rPr>
              <w:t>Tech-push | Market-pull</w:t>
            </w:r>
          </w:p>
        </w:tc>
        <w:tc>
          <w:tcPr/>
          <w:p>
            <w:r>
              <w:rPr>
                <w:sz w:val="21"/>
                <w:szCs w:val="21"/>
              </w:rPr>
              <w:t>Entrées du schéma de valorisation (inventions vs besoins de marché).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F2-UNIV-SATT-INCUB</w:t>
            </w:r>
          </w:p>
        </w:tc>
        <w:tc>
          <w:tcPr/>
          <w:p>
            <w:r>
              <w:rPr>
                <w:sz w:val="21"/>
                <w:szCs w:val="21"/>
              </w:rPr>
              <w:t>Université, SATT, incubateurs</w:t>
            </w:r>
          </w:p>
        </w:tc>
        <w:tc>
          <w:tcPr/>
          <w:p>
            <w:r>
              <w:rPr>
                <w:sz w:val="21"/>
                <w:szCs w:val="21"/>
              </w:rPr>
              <w:t>F2 p. 6-7</w:t>
            </w:r>
          </w:p>
        </w:tc>
        <w:tc>
          <w:tcPr/>
          <w:p>
            <w:r>
              <w:rPr>
                <w:sz w:val="21"/>
                <w:szCs w:val="21"/>
              </w:rPr>
              <w:t>Université → SATT → Incubateurs</w:t>
            </w:r>
          </w:p>
        </w:tc>
        <w:tc>
          <w:tcPr/>
          <w:p>
            <w:r>
              <w:rPr>
                <w:sz w:val="21"/>
                <w:szCs w:val="21"/>
              </w:rPr>
              <w:t>Bandeau du schéma de valorisation. Caler les nœuds sur les structures nommées à l’oral.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F2-PARTENARIAT</w:t>
            </w:r>
          </w:p>
        </w:tc>
        <w:tc>
          <w:tcPr/>
          <w:p>
            <w:r>
              <w:rPr>
                <w:sz w:val="21"/>
                <w:szCs w:val="21"/>
              </w:rPr>
              <w:t>Modalités de recherche partenariale</w:t>
            </w:r>
          </w:p>
        </w:tc>
        <w:tc>
          <w:tcPr/>
          <w:p>
            <w:r>
              <w:rPr>
                <w:sz w:val="21"/>
                <w:szCs w:val="21"/>
              </w:rPr>
              <w:t>F2 p. 7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  <w:tc>
          <w:tcPr/>
          <w:p>
            <w:r>
              <w:rPr>
                <w:sz w:val="21"/>
                <w:szCs w:val="21"/>
              </w:rPr>
              <w:t>Le fascicule en compte trois (prestation, collaborative, consultance). À l’écran, le contraste du grain suffit.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F2-TRL</w:t>
            </w:r>
          </w:p>
        </w:tc>
        <w:tc>
          <w:tcPr/>
          <w:p>
            <w:r>
              <w:rPr>
                <w:sz w:val="21"/>
                <w:szCs w:val="21"/>
              </w:rPr>
              <w:t>Échelle TRL (ISO 16290)</w:t>
            </w:r>
          </w:p>
        </w:tc>
        <w:tc>
          <w:tcPr/>
          <w:p>
            <w:r>
              <w:rPr>
                <w:sz w:val="21"/>
                <w:szCs w:val="21"/>
              </w:rPr>
              <w:t>F2 p. 12-13</w:t>
            </w:r>
          </w:p>
        </w:tc>
        <w:tc>
          <w:tcPr/>
          <w:p>
            <w:r>
              <w:rPr>
                <w:sz w:val="21"/>
                <w:szCs w:val="21"/>
              </w:rPr>
              <w:t>TRL 1 → 9</w:t>
            </w:r>
          </w:p>
        </w:tc>
        <w:tc>
          <w:tcPr/>
          <w:p>
            <w:r>
              <w:rPr>
                <w:sz w:val="21"/>
                <w:szCs w:val="21"/>
              </w:rPr>
              <w:t>Ne pas incruster le tableau à 9 lignes. L’échelle complète reste dans le fascicule (grain E4).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F2-TRL-DRL</w:t>
            </w:r>
          </w:p>
        </w:tc>
        <w:tc>
          <w:tcPr/>
          <w:p>
            <w:r>
              <w:rPr>
                <w:sz w:val="21"/>
                <w:szCs w:val="21"/>
              </w:rPr>
              <w:t>Approche hybride TRL / DRL</w:t>
            </w:r>
          </w:p>
        </w:tc>
        <w:tc>
          <w:tcPr/>
          <w:p>
            <w:r>
              <w:rPr>
                <w:sz w:val="21"/>
                <w:szCs w:val="21"/>
              </w:rPr>
              <w:t>F2 p. 14-15</w:t>
            </w:r>
          </w:p>
        </w:tc>
        <w:tc>
          <w:tcPr/>
          <w:p>
            <w:r>
              <w:rPr>
                <w:sz w:val="21"/>
                <w:szCs w:val="21"/>
              </w:rPr>
              <w:t>Techno ⇄ Marché</w:t>
            </w:r>
          </w:p>
        </w:tc>
        <w:tc>
          <w:tcPr/>
          <w:p>
            <w:r>
              <w:rPr>
                <w:sz w:val="21"/>
                <w:szCs w:val="21"/>
              </w:rPr>
              <w:t>Faisabilité technologique ⇄ désirabilité / demande. N’afficher le sigle DRL que s’il est dit.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F2-FINANCE</w:t>
            </w:r>
          </w:p>
        </w:tc>
        <w:tc>
          <w:tcPr/>
          <w:p>
            <w:r>
              <w:rPr>
                <w:sz w:val="21"/>
                <w:szCs w:val="21"/>
              </w:rPr>
              <w:t>Financement non-dilutif / dilutif</w:t>
            </w:r>
          </w:p>
        </w:tc>
        <w:tc>
          <w:tcPr/>
          <w:p>
            <w:r>
              <w:rPr>
                <w:sz w:val="21"/>
                <w:szCs w:val="21"/>
              </w:rPr>
              <w:t>F2 p. 15</w:t>
            </w:r>
          </w:p>
        </w:tc>
        <w:tc>
          <w:tcPr/>
          <w:p>
            <w:r>
              <w:rPr>
                <w:sz w:val="21"/>
                <w:szCs w:val="21"/>
              </w:rPr>
              <w:t>Non-dilutif | Dilutif</w:t>
            </w:r>
          </w:p>
        </w:tc>
        <w:tc>
          <w:tcPr/>
          <w:p>
            <w:r>
              <w:rPr>
                <w:sz w:val="21"/>
                <w:szCs w:val="21"/>
              </w:rPr>
              <w:t>Extrait du tableau comparatif ; ne pas coller les six lignes de critères.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F2-CYCLE-ITER</w:t>
            </w:r>
          </w:p>
        </w:tc>
        <w:tc>
          <w:tcPr/>
          <w:p>
            <w:r>
              <w:rPr>
                <w:sz w:val="21"/>
                <w:szCs w:val="21"/>
              </w:rPr>
              <w:t>Cycle itératif essai / erreur / pivot</w:t>
            </w:r>
          </w:p>
        </w:tc>
        <w:tc>
          <w:tcPr/>
          <w:p>
            <w:r>
              <w:rPr>
                <w:sz w:val="21"/>
                <w:szCs w:val="21"/>
              </w:rPr>
              <w:t>F2 p. 3</w:t>
            </w:r>
          </w:p>
        </w:tc>
        <w:tc>
          <w:tcPr/>
          <w:p>
            <w:r>
              <w:rPr>
                <w:sz w:val="21"/>
                <w:szCs w:val="21"/>
              </w:rPr>
              <w:t>Essai → Pivot → Essai</w:t>
            </w:r>
          </w:p>
        </w:tc>
        <w:tc>
          <w:tcPr/>
          <w:p>
            <w:r>
              <w:rPr>
                <w:sz w:val="21"/>
                <w:szCs w:val="21"/>
              </w:rPr>
              <w:t>Le cycle « est rarement linéaire » (F2 §3).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Schémas examinés, non incrustés en l’état</w:t>
      </w:r>
    </w:p>
    <w:p>
      <w:pPr>
        <w:ind w:left="360"/>
      </w:pPr>
      <w:r>
        <w:rPr/>
        <w:t>• Écosystème de l’innovation — schéma complet (fascicule 1, p. 15) — 9 groupes d’acteurs + Europe / international : slide, pas incrustation.</w:t>
      </w:r>
    </w:p>
    <w:p>
      <w:pPr>
        <w:ind w:left="360"/>
      </w:pPr>
      <w:r>
        <w:rPr/>
        <w:t>• Chaîne de valorisation — schéma complet (fascicule 2, p. 6-7) — Plus de 20 blocs. Extraire la colonne Protection → Maturation → Transfert.</w:t>
      </w:r>
    </w:p>
    <w:p>
      <w:pPr>
        <w:ind w:left="360"/>
      </w:pPr>
      <w:r>
        <w:rPr/>
        <w:t>• Tableau TRL ISO 1–9 (fascicule 2, p. 12-13) — Illisible face caméra. Extraire 1 → 9, renvoyer au fascicule / E4.</w:t>
      </w:r>
    </w:p>
    <w:p>
      <w:pPr>
        <w:ind w:left="360"/>
      </w:pPr>
      <w:r>
        <w:rPr/>
        <w:t>• Tableau croisé DRL × TRL (Paun) (fascicule 2, p. 14) — DRL n’est pas dit dans les vidéos filmées. Pas d’incrustation du sigle DRL.</w:t>
      </w:r>
    </w:p>
    <w:p>
      <w:pPr>
        <w:ind w:left="360"/>
      </w:pPr>
      <w:r>
        <w:rPr/>
        <w:t>• Tableau comparatif des financements (fascicule 2, p. 15) — Six critères × deux colonnes. Extraire Non-dilutif | Dilutif.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Bonnes pratiques — incrustations pédagogiques</dc:title>
  <dc:creator>Dérushage chorale</dc:creator>
</cp:coreProperties>
</file>