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E21</w:t>
      </w:r>
    </w:p>
    <w:p>
      <w:r>
        <w:rPr>
          <w:b/>
        </w:rPr>
        <w:t>Vidéo Expert 21 — Innover comme processus d’apprentissage. Incertitude, essais, erreurs, pivot et progression plutôt que réussite linéaire ; leviers existants pour dépasser les freins.</w:t>
      </w:r>
    </w:p>
    <w:p>
      <w:r>
        <w:rPr>
          <w:b/>
        </w:rPr>
        <w:t xml:space="preserve">Objectif de la vidéo. </w:t>
      </w:r>
      <w:r>
        <w:rPr/>
        <w:t>Innover comme processus d’apprentissage. Incertitude, essais, erreurs, pivot et progression plutôt que réussite linéaire ; leviers existants pour dépasser les freins.</w:t>
      </w:r>
    </w:p>
    <w:p>
      <w:r>
        <w:rPr>
          <w:sz w:val="21"/>
          <w:szCs w:val="21"/>
          <w:color w:val="5C6B7A"/>
        </w:rPr>
        <w:t>6 propositions · durée 04:30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00:00:30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Réduire l’inconnu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00:01:00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Échelle TRL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00:01:54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Pivot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00:02:52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MVP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00:03:18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Logique d’apprentissage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00:04:17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Pas un casse-cou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00:00:30–00:00:45 — Mot-clé</w:t>
      </w:r>
    </w:p>
    <w:p>
      <w:r>
        <w:rPr>
          <w:b/>
          <w:sz w:val="28"/>
          <w:szCs w:val="28"/>
        </w:rPr>
        <w:t>Réduire l’inconnu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00:00:30–00:00:45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Réduire l’inconnu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En réalité, conduire un projet innovant, c'est piloter un processus d'apprentissage qui va peu à peu réduire les zones d'incertitude, et si le projet est effectivement viable, en réduire les risques à chaque étape.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E21 : innover = apprendre.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00:01:00–00:01:13 — Petit schéma</w:t>
      </w:r>
    </w:p>
    <w:p>
      <w:r>
        <w:rPr>
          <w:b/>
          <w:sz w:val="28"/>
          <w:szCs w:val="28"/>
        </w:rPr>
        <w:t>Échelle TRL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00:01:00–00:01:13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Échelle TRL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Technology Readiness Level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TRL 1 → 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L'échelle bien connue des TRL, pour Technology Readiness Level, reflète d'une manière certes un peu trop linéaire par rapport à la réalité, cette avancée progressive d'un simple concept à un système complet commercialisé.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Première occurrence. Extraire 1→9 ; le tableau ISO 9 lignes reste dans le fascicule / E4.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12-13 — Échelle TRL (ISO 16290). Extrait écran : TRL 1 → 9. Ne pas incruster le tableau à 9 lignes. L’échelle complète reste dans le fascicule (grain E4).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00:01:54–00:01:57 — Mot-clé</w:t>
      </w:r>
    </w:p>
    <w:p>
      <w:r>
        <w:rPr>
          <w:b/>
          <w:sz w:val="28"/>
          <w:szCs w:val="28"/>
        </w:rPr>
        <w:t>Pivot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00:01:54–00:01:57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Pivot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C'est ce que, dans le monde des start-up, on appelle des pivots.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Impasse → virage, pas échec.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00:02:52–00:03:04 — Acronyme</w:t>
      </w:r>
    </w:p>
    <w:p>
      <w:r>
        <w:rPr>
          <w:b/>
          <w:sz w:val="28"/>
          <w:szCs w:val="28"/>
        </w:rPr>
        <w:t>MVP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00:02:52–00:03:04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MVP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Minimum Viable Product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Les start-uppers parlent de MVP pour Minimum Viable Product, et ce pour glaner des retours clients, des données d'utilisation et parfois de vente si cette V0 n'est pas gratuite.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Ici le sigle est enseigné (après T11).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00:03:18–00:03:23 — Mot-clé</w:t>
      </w:r>
    </w:p>
    <w:p>
      <w:r>
        <w:rPr>
          <w:b/>
          <w:sz w:val="28"/>
          <w:szCs w:val="28"/>
        </w:rPr>
        <w:t>Logique d’apprentissage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00:03:18–00:03:23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Logique d’apprentissage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Mais la logique d'apprentissage, elle, ne change pas.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Indépendante du secteur.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00:04:17–00:04:24 — Mot-clé</w:t>
      </w:r>
    </w:p>
    <w:p>
      <w:r>
        <w:rPr>
          <w:b/>
          <w:sz w:val="28"/>
          <w:szCs w:val="28"/>
        </w:rPr>
        <w:t>Pas un casse-cou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00:04:17–00:04:24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Pas un casse-cou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C'est plutôt celle d'un humain cherchant peu à peu à mieux comprendre les différentes dimensions de son projet.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Posture de l’innovateur.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E21</dc:title>
  <dc:creator>Dérushage chorale</dc:creator>
</cp:coreProperties>
</file>