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        <Relationships xmlns="http://schemas.openxmlformats.org/package/2006/relationships">
          <Relationship Id="rId1" Type="http://schemas.openxmlformats.org/officeDocument/2006/relationships/officeDocument" Target="word/document.xml"/>
          <Relationship Id="rId2" Type="http://schemas.openxmlformats.org/package/2006/relationships/metadata/core-properties" Target="docProps/core.xml"/>
          <Relationship Id="rId3" Type="http://schemas.openxmlformats.org/officeDocument/2006/relationships/extended-properties" Target="docProps/app.xml"/>
        </Relationships>
        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6"/>
          <w:szCs w:val="36"/>
        </w:rPr>
        <w:t>Incrustations — T4</w:t>
      </w:r>
    </w:p>
    <w:p>
      <w:r>
        <w:rPr>
          <w:b/>
        </w:rPr>
        <w:t>Vidéo témoin 4 — Proteger avant de communiquer</w:t>
      </w:r>
    </w:p>
    <w:p>
      <w:r>
        <w:rPr>
          <w:b/>
        </w:rPr>
        <w:t xml:space="preserve">Objectif de la vidéo. </w:t>
      </w:r>
      <w:r>
        <w:rPr/>
        <w:t>Face a un resultat potentiellement valorisable, l'apprenant sait qu'il doit contacter sa structure de valorisation avant de publier ou de communiquer. Il sait preparer ce premier echange.</w:t>
      </w:r>
    </w:p>
    <w:p>
      <w:r>
        <w:rPr>
          <w:sz w:val="21"/>
          <w:szCs w:val="21"/>
          <w:color w:val="5C6B7A"/>
        </w:rPr>
        <w:t>7 propositions · durée 06:00</w:t>
      </w:r>
    </w:p>
    <w:p>
      <w:r>
        <w:rPr>
          <w:sz w:val="21"/>
          <w:szCs w:val="21"/>
          <w:color w:val="5C6B7A"/>
        </w:rPr>
        <w:t>Le texte à l’écran n’est pas le verbatim. Motion faible : mot-clé (1 à 4 mots), acronyme développé à la première rencontre, ou petit schéma (2 à 4 nœuds). Les sous-titres d’accessibilité restent séparés.</w:t>
      </w:r>
    </w:p>
    <w:p>
      <w:pPr>
        <w:pStyle w:val="Heading2"/>
      </w:pPr>
      <w:r>
        <w:rPr>
          <w:b/>
          <w:sz w:val="26"/>
          <w:szCs w:val="26"/>
        </w:rPr>
        <w:t>Récapitulatif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09"/>
        <w:gridCol w:w="2409"/>
        <w:gridCol w:w="2409"/>
        <w:gridCol w:w="2409"/>
      </w:tblGrid>
      <w:tr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n°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Timecode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1</w:t>
            </w:r>
          </w:p>
        </w:tc>
        <w:tc>
          <w:tcPr/>
          <w:p>
            <w:r>
              <w:rPr>
                <w:sz w:val="21"/>
                <w:szCs w:val="21"/>
              </w:rPr>
              <w:t>00:00:20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Idée et preuve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2</w:t>
            </w:r>
          </w:p>
        </w:tc>
        <w:tc>
          <w:tcPr/>
          <w:p>
            <w:r>
              <w:rPr>
                <w:sz w:val="21"/>
                <w:szCs w:val="21"/>
              </w:rPr>
              <w:t>00:01:05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Prématuration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3</w:t>
            </w:r>
          </w:p>
        </w:tc>
        <w:tc>
          <w:tcPr/>
          <w:p>
            <w:r>
              <w:rPr>
                <w:sz w:val="21"/>
                <w:szCs w:val="21"/>
              </w:rPr>
              <w:t>00:01:19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Preuve de concept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4</w:t>
            </w:r>
          </w:p>
        </w:tc>
        <w:tc>
          <w:tcPr/>
          <w:p>
            <w:r>
              <w:rPr>
                <w:sz w:val="21"/>
                <w:szCs w:val="21"/>
              </w:rPr>
              <w:t>00:01:48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  <w:tc>
          <w:tcPr/>
          <w:p>
            <w:r>
              <w:rPr>
                <w:sz w:val="21"/>
                <w:szCs w:val="21"/>
              </w:rPr>
              <w:t>PoCkin Lab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5</w:t>
            </w:r>
          </w:p>
        </w:tc>
        <w:tc>
          <w:tcPr/>
          <w:p>
            <w:r>
              <w:rPr>
                <w:sz w:val="21"/>
                <w:szCs w:val="21"/>
              </w:rPr>
              <w:t>00:03:19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Pivot technologique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6</w:t>
            </w:r>
          </w:p>
        </w:tc>
        <w:tc>
          <w:tcPr/>
          <w:p>
            <w:r>
              <w:rPr>
                <w:sz w:val="21"/>
                <w:szCs w:val="21"/>
              </w:rPr>
              <w:t>00:04:14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Trois freins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7</w:t>
            </w:r>
          </w:p>
        </w:tc>
        <w:tc>
          <w:tcPr/>
          <w:p>
            <w:r>
              <w:rPr>
                <w:sz w:val="21"/>
                <w:szCs w:val="21"/>
              </w:rPr>
              <w:t>00:05:23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Se jeter à l’eau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Fiches</w:t>
      </w:r>
    </w:p>
    <w:p>
      <w:pPr>
        <w:pStyle w:val="Heading2"/>
      </w:pPr>
      <w:r>
        <w:rPr>
          <w:b/>
          <w:sz w:val="26"/>
          <w:szCs w:val="26"/>
        </w:rPr>
        <w:t>1. 00:00:20–00:00:26 — Petit schéma</w:t>
      </w:r>
    </w:p>
    <w:p>
      <w:r>
        <w:rPr>
          <w:b/>
          <w:sz w:val="28"/>
          <w:szCs w:val="28"/>
        </w:rPr>
        <w:t>Idée et preuve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00:00:20–00:00:26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Idée et preuve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Brevet ∥ expérience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Jean-Jacques Greffet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Cette idée, on peut l'utiliser pour rédiger un brevet et protéger l'innovation.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Deux niveaux de preuve en parallèle.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2. 00:01:05–00:01:13 — Petit schéma</w:t>
      </w:r>
    </w:p>
    <w:p>
      <w:r>
        <w:rPr>
          <w:b/>
          <w:sz w:val="28"/>
          <w:szCs w:val="28"/>
        </w:rPr>
        <w:t>Prématuration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00:01:05–00:01:13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Prématuration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Protection → Maturation → Transfert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Sylvia Cohen-Kaminski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Pour passer d'un résultat scientifique à une validation concrète, avant la maturation, il y a l'étape de prématuration.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Situer la prématuration sur la chaîne de valorisation du fascicule 2.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Fascicule</w:t>
            </w:r>
          </w:p>
        </w:tc>
        <w:tc>
          <w:tcPr/>
          <w:p>
            <w:r>
              <w:rPr>
                <w:sz w:val="21"/>
                <w:szCs w:val="21"/>
              </w:rPr>
              <w:t>Fascicule 2, p. 6-7 — Chaîne de valeur valorisation (Henao, 2025). Extrait écran : Protection → Maturation → Transfert. Ne pas coller le schéma complet (université / SATT / incubateurs + blocs annexes).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3. 00:01:19–00:01:35 — Mot-clé</w:t>
      </w:r>
    </w:p>
    <w:p>
      <w:r>
        <w:rPr>
          <w:b/>
          <w:sz w:val="28"/>
          <w:szCs w:val="28"/>
        </w:rPr>
        <w:t>Preuve de concept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00:01:19–00:01:35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Preuve de concept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Sylvia Cohen-Kaminski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La véritable pierre angulaire qui a permis de montrer que la technologie était viable, c'était pendant la maturation à la SAT Paris-Saclay, quand on a fait la preuve de concept que notre candidat médicament marchait dans les modèles expérimentaux d'HTAP.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Viabilité technique, pas encore marché.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4. 00:01:48–00:01:56 — Acronyme</w:t>
      </w:r>
    </w:p>
    <w:p>
      <w:r>
        <w:rPr>
          <w:b/>
          <w:sz w:val="28"/>
          <w:szCs w:val="28"/>
        </w:rPr>
        <w:t>PoCkin Lab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00:01:48–00:01:56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PoCkin Lab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Développé</w:t>
            </w:r>
          </w:p>
        </w:tc>
        <w:tc>
          <w:tcPr/>
          <w:p>
            <w:r>
              <w:rPr>
                <w:sz w:val="21"/>
                <w:szCs w:val="21"/>
              </w:rPr>
              <w:t>Preuve de concept in lab — prématuration Université Paris-Saclay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Yann Monier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Moi, pour le moment, je suis dans une phase de prématuration, sous un financement Pockin Lab de l'Université Paris-Saclay.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Dispositif nommé ; première fois dans le parcours.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5. 00:03:19–00:03:27 — Mot-clé</w:t>
      </w:r>
    </w:p>
    <w:p>
      <w:r>
        <w:rPr>
          <w:b/>
          <w:sz w:val="28"/>
          <w:szCs w:val="28"/>
        </w:rPr>
        <w:t>Pivot technologique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00:03:19–00:03:27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Pivot technologique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Muriel Thomas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Donc on a fait un pivot technologique et on est passé d'une formulation prête à consommer à une formulation prête à préparer.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Le terrain impose de changer de formulation.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6. 00:04:14–00:04:20 — Petit schéma</w:t>
      </w:r>
    </w:p>
    <w:p>
      <w:r>
        <w:rPr>
          <w:b/>
          <w:sz w:val="28"/>
          <w:szCs w:val="28"/>
        </w:rPr>
        <w:t>Trois freins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00:04:14–00:04:20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Trois freins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Temps · Légitimité · Échec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Muriel Thomas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Je dirais peut-être le premier frein, c'est la peur du manque de temps.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Leviers personnels du grain.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7. 00:05:23–00:05:31 — Mot-clé</w:t>
      </w:r>
    </w:p>
    <w:p>
      <w:r>
        <w:rPr>
          <w:b/>
          <w:sz w:val="28"/>
          <w:szCs w:val="28"/>
        </w:rPr>
        <w:t>Se jeter à l’eau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00:05:23–00:05:31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Se jeter à l’eau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Jean-Jacques Greffet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Ce qu'il faut surtout finalement dire, c'est qu'il est impossible de tout maîtriser et que de toute façon, il faut se jeter à l'eau.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Décision malgré l’incertitude.</w:t>
            </w:r>
          </w:p>
        </w:tc>
      </w:tr>
    </w:tbl>
    <w:p>
      <w:r>
        <w:rPr/>
        <w:t/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qFormat/>
    <w:pPr>
      <w:outlineLvl w:val="0"/>
    </w:pPr>
    <w:rPr>
      <w:b/>
      <w:sz w:val="36"/>
    </w:rPr>
  </w:style>
  <w:style w:type="paragraph" w:styleId="Heading2">
    <w:name w:val="heading 2"/>
    <w:basedOn w:val="Normal"/>
    <w:qFormat/>
    <w:pPr>
      <w:outlineLvl w:val="1"/>
    </w:pPr>
    <w:rPr>
      <w:b/>
      <w:sz w:val="26"/>
    </w:rPr>
  </w:style>
</w:styles>
</file>

<file path=word/_rels/document.xml.rels><?xml version="1.0" encoding="UTF-8" standalone="yes"?>
        <Relationships xmlns="http://schemas.openxmlformats.org/package/2006/relationships">
          <Relationship Id="rId1" Type="http://schemas.openxmlformats.org/officeDocument/2006/relationships/styles" Target="styles.xml"/>
          <Relationship Id="rId2" Type="http://schemas.openxmlformats.org/officeDocument/2006/relationships/settings" Target="settings.xml"/>
        </Relationships>
        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Incrustations — T4</dc:title>
  <dc:creator>Dérushage chorale</dc:creator>
</cp:coreProperties>
</file>