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        <Relationships xmlns="http://schemas.openxmlformats.org/package/2006/relationships">
          <Relationship Id="rId1" Type="http://schemas.openxmlformats.org/officeDocument/2006/relationships/officeDocument" Target="word/document.xml"/>
          <Relationship Id="rId2" Type="http://schemas.openxmlformats.org/package/2006/relationships/metadata/core-properties" Target="docProps/core.xml"/>
          <Relationship Id="rId3" Type="http://schemas.openxmlformats.org/officeDocument/2006/relationships/extended-properties" Target="docProps/app.xml"/>
        </Relationships>
        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36"/>
          <w:szCs w:val="36"/>
        </w:rPr>
        <w:t>Incrustations — T6</w:t>
      </w:r>
    </w:p>
    <w:p>
      <w:r>
        <w:rPr>
          <w:b/>
        </w:rPr>
        <w:t>Vidéo témoin 6 — Creation de start-up, licence ou partenariat : choisir une voie de transfert</w:t>
      </w:r>
    </w:p>
    <w:p>
      <w:r>
        <w:rPr>
          <w:b/>
        </w:rPr>
        <w:t xml:space="preserve">Objectif de la vidéo. </w:t>
      </w:r>
      <w:r>
        <w:rPr/>
        <w:t>L'apprenant comprend que la creation d'entreprise n'est qu'une voie possible. Il sait comparer les grandes options et identifier les questions a traiter avec les professionnels de la valorisation.</w:t>
      </w:r>
    </w:p>
    <w:p>
      <w:r>
        <w:rPr>
          <w:sz w:val="21"/>
          <w:szCs w:val="21"/>
          <w:color w:val="5C6B7A"/>
        </w:rPr>
        <w:t>5 propositions · durée 03:54</w:t>
      </w:r>
    </w:p>
    <w:p>
      <w:r>
        <w:rPr>
          <w:sz w:val="21"/>
          <w:szCs w:val="21"/>
          <w:color w:val="5C6B7A"/>
        </w:rPr>
        <w:t>Le texte à l’écran n’est pas le verbatim. Motion faible : mot-clé (1 à 4 mots), acronyme développé à la première rencontre, ou petit schéma (2 à 4 nœuds). Les sous-titres d’accessibilité restent séparés.</w:t>
      </w:r>
    </w:p>
    <w:p>
      <w:pPr>
        <w:pStyle w:val="Heading2"/>
      </w:pPr>
      <w:r>
        <w:rPr>
          <w:b/>
          <w:sz w:val="26"/>
          <w:szCs w:val="26"/>
        </w:rPr>
        <w:t>Récapitulatif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09"/>
        <w:gridCol w:w="2409"/>
        <w:gridCol w:w="2409"/>
        <w:gridCol w:w="2409"/>
      </w:tblGrid>
      <w:tr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n°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Timecode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1</w:t>
            </w:r>
          </w:p>
        </w:tc>
        <w:tc>
          <w:tcPr/>
          <w:p>
            <w:r>
              <w:rPr>
                <w:sz w:val="21"/>
                <w:szCs w:val="21"/>
              </w:rPr>
              <w:t>00:00:19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  <w:tc>
          <w:tcPr/>
          <w:p>
            <w:r>
              <w:rPr>
                <w:sz w:val="21"/>
                <w:szCs w:val="21"/>
              </w:rPr>
              <w:t>Deux voies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2</w:t>
            </w:r>
          </w:p>
        </w:tc>
        <w:tc>
          <w:tcPr/>
          <w:p>
            <w:r>
              <w:rPr>
                <w:sz w:val="21"/>
                <w:szCs w:val="21"/>
              </w:rPr>
              <w:t>00:01:19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Licence exclusive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3</w:t>
            </w:r>
          </w:p>
        </w:tc>
        <w:tc>
          <w:tcPr/>
          <w:p>
            <w:r>
              <w:rPr>
                <w:sz w:val="21"/>
                <w:szCs w:val="21"/>
              </w:rPr>
              <w:t>00:01:39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  <w:tc>
          <w:tcPr/>
          <w:p>
            <w:r>
              <w:rPr>
                <w:sz w:val="21"/>
                <w:szCs w:val="21"/>
              </w:rPr>
              <w:t>Licence ≠ Cession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4</w:t>
            </w:r>
          </w:p>
        </w:tc>
        <w:tc>
          <w:tcPr/>
          <w:p>
            <w:r>
              <w:rPr>
                <w:sz w:val="21"/>
                <w:szCs w:val="21"/>
              </w:rPr>
              <w:t>00:02:14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Licence d’exploitation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5</w:t>
            </w:r>
          </w:p>
        </w:tc>
        <w:tc>
          <w:tcPr/>
          <w:p>
            <w:r>
              <w:rPr>
                <w:sz w:val="21"/>
                <w:szCs w:val="21"/>
              </w:rPr>
              <w:t>00:03:20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  <w:tc>
          <w:tcPr/>
          <w:p>
            <w:r>
              <w:rPr>
                <w:sz w:val="21"/>
                <w:szCs w:val="21"/>
              </w:rPr>
              <w:t>Mixte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Fiches</w:t>
      </w:r>
    </w:p>
    <w:p>
      <w:pPr>
        <w:pStyle w:val="Heading2"/>
      </w:pPr>
      <w:r>
        <w:rPr>
          <w:b/>
          <w:sz w:val="26"/>
          <w:szCs w:val="26"/>
        </w:rPr>
        <w:t>1. 00:00:19–00:00:20 — Petit schéma</w:t>
      </w:r>
    </w:p>
    <w:p>
      <w:r>
        <w:rPr>
          <w:b/>
          <w:sz w:val="28"/>
          <w:szCs w:val="28"/>
        </w:rPr>
        <w:t>Deux voies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00:00:19–00:00:20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Deux voies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Schéma (nœuds)</w:t>
            </w:r>
          </w:p>
        </w:tc>
        <w:tc>
          <w:tcPr/>
          <w:p>
            <w:r>
              <w:rPr>
                <w:sz w:val="21"/>
                <w:szCs w:val="21"/>
              </w:rPr>
              <w:t>Licence | Création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Muriel Thomas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Est-ce que ça va être du licensing?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Objectif T6 : extrait de la chaîne de valorisation F2.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Fascicule</w:t>
            </w:r>
          </w:p>
        </w:tc>
        <w:tc>
          <w:tcPr/>
          <w:p>
            <w:r>
              <w:rPr>
                <w:sz w:val="21"/>
                <w:szCs w:val="21"/>
              </w:rPr>
              <w:t>Fascicule 2, p. 6-7 — Voies de transfert. Extrait écran : Licence | Création. Extrait de la chaîne : création d’entreprises / licences vs transfert vers une société existante.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2. 00:01:19–00:01:39 — Mot-clé</w:t>
      </w:r>
    </w:p>
    <w:p>
      <w:r>
        <w:rPr>
          <w:b/>
          <w:sz w:val="28"/>
          <w:szCs w:val="28"/>
        </w:rPr>
        <w:t>Licence exclusive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00:01:19–00:01:39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Licence exclusive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Jean-Jacques Greffet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Ce brevet, quand on l'exploite, soit on peut utiliser une licence exclusive qui est délivrée par les établissements qui sont copropriétaires du brevet, ou il peut y avoir un transfert de propriété en échange d'une part de participation dans la société.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Mécanisme de transfert.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3. 00:01:39–00:01:49 — Petit schéma</w:t>
      </w:r>
    </w:p>
    <w:p>
      <w:r>
        <w:rPr>
          <w:b/>
          <w:sz w:val="28"/>
          <w:szCs w:val="28"/>
        </w:rPr>
        <w:t>Licence ≠ Cession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00:01:39–00:01:49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Licence ≠ Cession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Schéma (nœuds)</w:t>
            </w:r>
          </w:p>
        </w:tc>
        <w:tc>
          <w:tcPr/>
          <w:p>
            <w:r>
              <w:rPr>
                <w:sz w:val="21"/>
                <w:szCs w:val="21"/>
              </w:rPr>
              <w:t>Licence ≠ Cession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Jean-Jacques Greffet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Le schéma le plus couramment utilisé jusqu'ici était le premier, mais il se trouve que dans notre cas, nous sommes partis à la demande des établissements sur le deuxième cas.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Transfert de propriété du brevet : distinction F1 p. 8.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Fascicule</w:t>
            </w:r>
          </w:p>
        </w:tc>
        <w:tc>
          <w:tcPr/>
          <w:p>
            <w:r>
              <w:rPr>
                <w:sz w:val="21"/>
                <w:szCs w:val="21"/>
              </w:rPr>
              <w:t>Fascicule 1, p. 8 — Licence ≠ cession. Extrait écran : Licence ≠ Cession. La licence autorise ; la cession transfère la propriété.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4. 00:02:14–00:02:20 — Mot-clé</w:t>
      </w:r>
    </w:p>
    <w:p>
      <w:r>
        <w:rPr>
          <w:b/>
          <w:sz w:val="28"/>
          <w:szCs w:val="28"/>
        </w:rPr>
        <w:t>Licence d’exploitation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00:02:14–00:02:20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Licence d’exploitation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Muriel Thomas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Dans le cadre de la start-up, on a négocié avec l'Inrae une licence exclusive d'exploitation.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L’organisme reste propriétaire, l’entreprise exploite.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5. 00:03:20–00:03:27 — Petit schéma</w:t>
      </w:r>
    </w:p>
    <w:p>
      <w:r>
        <w:rPr>
          <w:b/>
          <w:sz w:val="28"/>
          <w:szCs w:val="28"/>
        </w:rPr>
        <w:t>Mixte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00:03:20–00:03:27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Mixte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Schéma (nœuds)</w:t>
            </w:r>
          </w:p>
        </w:tc>
        <w:tc>
          <w:tcPr/>
          <w:p>
            <w:r>
              <w:rPr>
                <w:sz w:val="21"/>
                <w:szCs w:val="21"/>
              </w:rPr>
              <w:t>Brevet + secret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Loïc Rajjou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Et donc la stratégie aujourd'hui elle est plus orientée vers une stratégie brevet puisque la stratégie savoir faire secret elle est soclée.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La voie de PI suit la voie de transfert.</w:t>
            </w:r>
          </w:p>
        </w:tc>
      </w:tr>
    </w:tbl>
    <w:p>
      <w:r>
        <w:rPr/>
        <w:t/>
      </w:r>
    </w:p>
    <w:sectPr>
      <w:pgSz w:w="11906" w:h="16838"/>
      <w:pgMar w:top="1134" w:right="1134" w:bottom="1134" w:left="1134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/>
      <w:sz w:val="22"/>
    </w:rPr>
  </w:style>
  <w:style w:type="paragraph" w:styleId="Heading1">
    <w:name w:val="heading 1"/>
    <w:basedOn w:val="Normal"/>
    <w:qFormat/>
    <w:pPr>
      <w:outlineLvl w:val="0"/>
    </w:pPr>
    <w:rPr>
      <w:b/>
      <w:sz w:val="36"/>
    </w:rPr>
  </w:style>
  <w:style w:type="paragraph" w:styleId="Heading2">
    <w:name w:val="heading 2"/>
    <w:basedOn w:val="Normal"/>
    <w:qFormat/>
    <w:pPr>
      <w:outlineLvl w:val="1"/>
    </w:pPr>
    <w:rPr>
      <w:b/>
      <w:sz w:val="26"/>
    </w:rPr>
  </w:style>
</w:styles>
</file>

<file path=word/_rels/document.xml.rels><?xml version="1.0" encoding="UTF-8" standalone="yes"?>
        <Relationships xmlns="http://schemas.openxmlformats.org/package/2006/relationships">
          <Relationship Id="rId1" Type="http://schemas.openxmlformats.org/officeDocument/2006/relationships/styles" Target="styles.xml"/>
          <Relationship Id="rId2" Type="http://schemas.openxmlformats.org/officeDocument/2006/relationships/settings" Target="settings.xml"/>
        </Relationships>
        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>
  <dc:title>Incrustations — T6</dc:title>
  <dc:creator>Dérushage chorale</dc:creator>
</cp:coreProperties>
</file>