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        <Relationships xmlns="http://schemas.openxmlformats.org/package/2006/relationships">
          <Relationship Id="rId1" Type="http://schemas.openxmlformats.org/officeDocument/2006/relationships/officeDocument" Target="word/document.xml"/>
          <Relationship Id="rId2" Type="http://schemas.openxmlformats.org/package/2006/relationships/metadata/core-properties" Target="docProps/core.xml"/>
          <Relationship Id="rId3" Type="http://schemas.openxmlformats.org/officeDocument/2006/relationships/extended-properties" Target="docProps/app.xml"/>
        </Relationships>
        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6"/>
          <w:szCs w:val="36"/>
        </w:rPr>
        <w:t>Incrustations — E13bis</w:t>
      </w:r>
    </w:p>
    <w:p>
      <w:r>
        <w:rPr>
          <w:b/>
        </w:rPr>
        <w:t>Vidéo Expert 13 bis — Autre structures (design spot, Fablab, pole de compétitivité,OTT, etc)</w:t>
      </w:r>
    </w:p>
    <w:p>
      <w:r>
        <w:rPr>
          <w:b/>
        </w:rPr>
        <w:t xml:space="preserve">Objectif de la vidéo. </w:t>
      </w:r>
      <w:r>
        <w:rPr/>
        <w:t>Autre structures (design spot, Fablab, pole de compétitivité,OTT, etc)</w:t>
      </w:r>
    </w:p>
    <w:p>
      <w:r>
        <w:rPr>
          <w:sz w:val="21"/>
          <w:szCs w:val="21"/>
          <w:color w:val="5C6B7A"/>
        </w:rPr>
        <w:t>6 propositions · durée 04:17</w:t>
      </w:r>
    </w:p>
    <w:p>
      <w:r>
        <w:rPr>
          <w:sz w:val="21"/>
          <w:szCs w:val="21"/>
          <w:color w:val="5C6B7A"/>
        </w:rPr>
        <w:t>Le texte à l’écran n’est pas le verbatim. Motion faible : mot-clé (1 à 4 mots), acronyme développé à la première rencontre, ou petit schéma (2 à 4 nœuds). Les sous-titres d’accessibilité restent séparés.</w:t>
      </w:r>
    </w:p>
    <w:p>
      <w:pPr>
        <w:pStyle w:val="Heading2"/>
      </w:pPr>
      <w:r>
        <w:rPr>
          <w:b/>
          <w:sz w:val="26"/>
          <w:szCs w:val="26"/>
        </w:rPr>
        <w:t>Récapitulatif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09"/>
        <w:gridCol w:w="2409"/>
        <w:gridCol w:w="2409"/>
        <w:gridCol w:w="2409"/>
      </w:tblGrid>
      <w:tr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n°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Timecode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1</w:t>
            </w:r>
          </w:p>
        </w:tc>
        <w:tc>
          <w:tcPr/>
          <w:p>
            <w:r>
              <w:rPr>
                <w:sz w:val="21"/>
                <w:szCs w:val="21"/>
              </w:rPr>
              <w:t>00:00:05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Design Spot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2</w:t>
            </w:r>
          </w:p>
        </w:tc>
        <w:tc>
          <w:tcPr/>
          <w:p>
            <w:r>
              <w:rPr>
                <w:sz w:val="21"/>
                <w:szCs w:val="21"/>
              </w:rPr>
              <w:t>00:00:41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  <w:tc>
          <w:tcPr/>
          <w:p>
            <w:r>
              <w:rPr>
                <w:sz w:val="21"/>
                <w:szCs w:val="21"/>
              </w:rPr>
              <w:t>Plateformes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3</w:t>
            </w:r>
          </w:p>
        </w:tc>
        <w:tc>
          <w:tcPr/>
          <w:p>
            <w:r>
              <w:rPr>
                <w:sz w:val="21"/>
                <w:szCs w:val="21"/>
              </w:rPr>
              <w:t>00:01:33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Besoin et usage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4</w:t>
            </w:r>
          </w:p>
        </w:tc>
        <w:tc>
          <w:tcPr/>
          <w:p>
            <w:r>
              <w:rPr>
                <w:sz w:val="21"/>
                <w:szCs w:val="21"/>
              </w:rPr>
              <w:t>00:01:58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Expérience utilisateur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5</w:t>
            </w:r>
          </w:p>
        </w:tc>
        <w:tc>
          <w:tcPr/>
          <w:p>
            <w:r>
              <w:rPr>
                <w:sz w:val="21"/>
                <w:szCs w:val="21"/>
              </w:rPr>
              <w:t>00:03:15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Complémentarité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6</w:t>
            </w:r>
          </w:p>
        </w:tc>
        <w:tc>
          <w:tcPr/>
          <w:p>
            <w:r>
              <w:rPr>
                <w:sz w:val="21"/>
                <w:szCs w:val="21"/>
              </w:rPr>
              <w:t>00:03:18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La bonne ressource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Fiches</w:t>
      </w:r>
    </w:p>
    <w:p>
      <w:pPr>
        <w:pStyle w:val="Heading2"/>
      </w:pPr>
      <w:r>
        <w:rPr>
          <w:b/>
          <w:sz w:val="26"/>
          <w:szCs w:val="26"/>
        </w:rPr>
        <w:t>1. 00:00:05–00:00:10 — Mot-clé</w:t>
      </w:r>
    </w:p>
    <w:p>
      <w:r>
        <w:rPr>
          <w:b/>
          <w:sz w:val="28"/>
          <w:szCs w:val="28"/>
        </w:rPr>
        <w:t>Design Spot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00:00:05–00:00:10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Design Spot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Yoann Montenot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Je suis Yoann Monteneau, le directeur du Design Spot, le centre de design de l'Université Paris-Saclay.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Autre structure que SATT / incubateur, objectif E13bis.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2. 00:00:41–00:00:52 — Petit schéma</w:t>
      </w:r>
    </w:p>
    <w:p>
      <w:r>
        <w:rPr>
          <w:b/>
          <w:sz w:val="28"/>
          <w:szCs w:val="28"/>
        </w:rPr>
        <w:t>Plateformes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00:00:41–00:00:52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Plateformes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Schéma (nœuds)</w:t>
            </w:r>
          </w:p>
        </w:tc>
        <w:tc>
          <w:tcPr/>
          <w:p>
            <w:r>
              <w:rPr>
                <w:sz w:val="21"/>
                <w:szCs w:val="21"/>
              </w:rPr>
              <w:t>Fablab · Fabrique · POC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Yoann Montenot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L'Université Paris-Saclay s'appuie pour cela sur plusieurs espaces et plateformes techniques comme La Fabrique de Centrale Supélec, le Fab Lab de l'Université Paris-Saclay ou encore celui de l'IOGS.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Autres acteur·rices de l’écosystème F1 : extrait, pas le schéma à 9 groupes.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Fascicule</w:t>
            </w:r>
          </w:p>
        </w:tc>
        <w:tc>
          <w:tcPr/>
          <w:p>
            <w:r>
              <w:rPr>
                <w:sz w:val="21"/>
                <w:szCs w:val="21"/>
              </w:rPr>
              <w:t>Fascicule 1, p. 15 — Écosystème de l’innovation (Henao, 2025). Extrait écran : SATT · Incubateurs · Pôles. Le schéma complet (9 groupes + Europe / international) est trop dense face caméra. Extraire 3 acteurs du grain.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3. 00:01:33–00:01:39 — Mot-clé</w:t>
      </w:r>
    </w:p>
    <w:p>
      <w:r>
        <w:rPr>
          <w:b/>
          <w:sz w:val="28"/>
          <w:szCs w:val="28"/>
        </w:rPr>
        <w:t>Besoin et usage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00:01:33–00:01:39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Besoin et usage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Yoann Montenot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Est-ce que la solution que l'on développe répond réellement à un besoin et à un usage?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Le design n’est pas le styling.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4. 00:01:58–00:02:05 — Mot-clé</w:t>
      </w:r>
    </w:p>
    <w:p>
      <w:r>
        <w:rPr>
          <w:b/>
          <w:sz w:val="28"/>
          <w:szCs w:val="28"/>
        </w:rPr>
        <w:t>Expérience utilisateur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00:01:58–00:02:05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Expérience utilisateur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Yoann Montenot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Il permet de travailler sur les usages, l'expérience utilisateur, la compréhension de la solution et son appropriation.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Valeur du design en amont.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5. 00:03:15–00:03:18 — Mot-clé</w:t>
      </w:r>
    </w:p>
    <w:p>
      <w:r>
        <w:rPr>
          <w:b/>
          <w:sz w:val="28"/>
          <w:szCs w:val="28"/>
        </w:rPr>
        <w:t>Complémentarité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00:03:15–00:03:18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Complémentarité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Yoann Montenot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L'intérêt de cet écosystème, c'est donc sa complémentarité.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Pas un parcours unique.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6. 00:03:18–00:03:21 — Mot-clé</w:t>
      </w:r>
    </w:p>
    <w:p>
      <w:r>
        <w:rPr>
          <w:b/>
          <w:sz w:val="28"/>
          <w:szCs w:val="28"/>
        </w:rPr>
        <w:t>La bonne ressource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00:03:18–00:03:21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La bonne ressource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Yoann Montenot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Il n'existe pas un parcours unique pour innover.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Au bon moment.</w:t>
            </w:r>
          </w:p>
        </w:tc>
      </w:tr>
    </w:tbl>
    <w:p>
      <w:r>
        <w:rPr/>
        <w:t/>
      </w:r>
    </w:p>
    <w:sectPr>
      <w:pgSz w:w="11906" w:h="16838"/>
      <w:pgMar w:top="1134" w:right="1134" w:bottom="1134" w:left="1134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qFormat/>
    <w:pPr>
      <w:outlineLvl w:val="0"/>
    </w:pPr>
    <w:rPr>
      <w:b/>
      <w:sz w:val="36"/>
    </w:rPr>
  </w:style>
  <w:style w:type="paragraph" w:styleId="Heading2">
    <w:name w:val="heading 2"/>
    <w:basedOn w:val="Normal"/>
    <w:qFormat/>
    <w:pPr>
      <w:outlineLvl w:val="1"/>
    </w:pPr>
    <w:rPr>
      <w:b/>
      <w:sz w:val="26"/>
    </w:rPr>
  </w:style>
</w:styles>
</file>

<file path=word/_rels/document.xml.rels><?xml version="1.0" encoding="UTF-8" standalone="yes"?>
        <Relationships xmlns="http://schemas.openxmlformats.org/package/2006/relationships">
          <Relationship Id="rId1" Type="http://schemas.openxmlformats.org/officeDocument/2006/relationships/styles" Target="styles.xml"/>
          <Relationship Id="rId2" Type="http://schemas.openxmlformats.org/officeDocument/2006/relationships/settings" Target="settings.xml"/>
        </Relationships>
        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>
  <dc:title>Incrustations — E13bis</dc:title>
  <dc:creator>Dérushage chorale</dc:creator>
</cp:coreProperties>
</file>