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        <Relationships xmlns="http://schemas.openxmlformats.org/package/2006/relationships">
          <Relationship Id="rId1" Type="http://schemas.openxmlformats.org/officeDocument/2006/relationships/officeDocument" Target="word/document.xml"/>
          <Relationship Id="rId2" Type="http://schemas.openxmlformats.org/package/2006/relationships/metadata/core-properties" Target="docProps/core.xml"/>
          <Relationship Id="rId3" Type="http://schemas.openxmlformats.org/officeDocument/2006/relationships/extended-properties" Target="docProps/app.xml"/>
        </Relationships>
        
</file>

<file path=word/document.xml><?xml version="1.0" encoding="utf-8"?>
<w:document xmlns:w="http://schemas.openxmlformats.org/wordprocessingml/2006/main">
  <w:body>
    <w:p>
      <w:pPr>
        <w:pStyle w:val="Heading1"/>
      </w:pPr>
      <w:r>
        <w:rPr>
          <w:b/>
          <w:sz w:val="36"/>
          <w:szCs w:val="36"/>
        </w:rPr>
        <w:t>Incrustations — E21</w:t>
      </w:r>
    </w:p>
    <w:p>
      <w:r>
        <w:rPr>
          <w:b/>
        </w:rPr>
        <w:t>Vidéo Expert 21 — Innover comme processus d’apprentissage. Incertitude, essais, erreurs, pivot et progression plutôt que réussite linéaire ; leviers existants pour dépasser les freins.</w:t>
      </w:r>
    </w:p>
    <w:p>
      <w:r>
        <w:rPr>
          <w:b/>
        </w:rPr>
        <w:t xml:space="preserve">Objectif de la vidéo. </w:t>
      </w:r>
      <w:r>
        <w:rPr/>
        <w:t>Innover comme processus d’apprentissage. Incertitude, essais, erreurs, pivot et progression plutôt que réussite linéaire ; leviers existants pour dépasser les freins.</w:t>
      </w:r>
    </w:p>
    <w:p>
      <w:r>
        <w:rPr>
          <w:sz w:val="21"/>
          <w:szCs w:val="21"/>
          <w:color w:val="5C6B7A"/>
        </w:rPr>
        <w:t>6 propositions · durée 04:30</w:t>
      </w:r>
    </w:p>
    <w:p>
      <w:r>
        <w:rPr>
          <w:sz w:val="21"/>
          <w:szCs w:val="21"/>
          <w:color w:val="5C6B7A"/>
        </w:rPr>
        <w:t>Le texte à l’écran n’est pas le verbatim. Motion faible : mot-clé (1 à 4 mots), acronyme développé à la première rencontre, ou petit schéma (2 à 4 nœuds). Les sous-titres d’accessibilité restent séparés.</w:t>
      </w:r>
    </w:p>
    <w:p>
      <w:pPr>
        <w:pStyle w:val="Heading2"/>
      </w:pPr>
      <w:r>
        <w:rPr>
          <w:b/>
          <w:sz w:val="26"/>
          <w:szCs w:val="26"/>
        </w:rPr>
        <w:t>Récapitulatif</w:t>
      </w:r>
    </w:p>
    <w:tbl>
      <w:tblPr>
        <w:tblW w:w="5000" w:type="pct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2409"/>
        <w:gridCol w:w="2409"/>
        <w:gridCol w:w="2409"/>
        <w:gridCol w:w="2409"/>
      </w:tblGrid>
      <w:tr>
        <w:tc>
          <w:tcPr>
            <w:shd w:val="clear" w:fill="E2E8F0"/>
          </w:tcPr>
          <w:p>
            <w:r>
              <w:rPr>
                <w:b/>
                <w:sz w:val="21"/>
                <w:szCs w:val="21"/>
              </w:rPr>
              <w:t>n°</w:t>
            </w:r>
          </w:p>
        </w:tc>
        <w:tc>
          <w:tcPr>
            <w:shd w:val="clear" w:fill="E2E8F0"/>
          </w:tcPr>
          <w:p>
            <w:r>
              <w:rPr>
                <w:b/>
                <w:sz w:val="21"/>
                <w:szCs w:val="21"/>
              </w:rPr>
              <w:t>Timecode</w:t>
            </w:r>
          </w:p>
        </w:tc>
        <w:tc>
          <w:tcPr>
            <w:shd w:val="clear" w:fill="E2E8F0"/>
          </w:tcPr>
          <w:p>
            <w:r>
              <w:rPr>
                <w:b/>
                <w:sz w:val="21"/>
                <w:szCs w:val="21"/>
              </w:rPr>
              <w:t>Type</w:t>
            </w:r>
          </w:p>
        </w:tc>
        <w:tc>
          <w:tcPr>
            <w:shd w:val="clear" w:fill="E2E8F0"/>
          </w:tcPr>
          <w:p>
            <w:r>
              <w:rPr>
                <w:b/>
                <w:sz w:val="21"/>
                <w:szCs w:val="21"/>
              </w:rPr>
              <w:t>À l’écran</w:t>
            </w:r>
          </w:p>
        </w:tc>
      </w:tr>
      <w:tr>
        <w:tc>
          <w:tcPr/>
          <w:p>
            <w:r>
              <w:rPr>
                <w:sz w:val="21"/>
                <w:szCs w:val="21"/>
              </w:rPr>
              <w:t>1</w:t>
            </w:r>
          </w:p>
        </w:tc>
        <w:tc>
          <w:tcPr/>
          <w:p>
            <w:r>
              <w:rPr>
                <w:sz w:val="21"/>
                <w:szCs w:val="21"/>
              </w:rPr>
              <w:t>00:00:30</w:t>
            </w:r>
          </w:p>
        </w:tc>
        <w:tc>
          <w:tcPr/>
          <w:p>
            <w:r>
              <w:rPr>
                <w:sz w:val="21"/>
                <w:szCs w:val="21"/>
              </w:rPr>
              <w:t>Mot-clé</w:t>
            </w:r>
          </w:p>
        </w:tc>
        <w:tc>
          <w:tcPr/>
          <w:p>
            <w:r>
              <w:rPr>
                <w:sz w:val="21"/>
                <w:szCs w:val="21"/>
              </w:rPr>
              <w:t>Réduire l’inconnu</w:t>
            </w:r>
          </w:p>
        </w:tc>
      </w:tr>
      <w:tr>
        <w:tc>
          <w:tcPr/>
          <w:p>
            <w:r>
              <w:rPr>
                <w:sz w:val="21"/>
                <w:szCs w:val="21"/>
              </w:rPr>
              <w:t>2</w:t>
            </w:r>
          </w:p>
        </w:tc>
        <w:tc>
          <w:tcPr/>
          <w:p>
            <w:r>
              <w:rPr>
                <w:sz w:val="21"/>
                <w:szCs w:val="21"/>
              </w:rPr>
              <w:t>00:01:00</w:t>
            </w:r>
          </w:p>
        </w:tc>
        <w:tc>
          <w:tcPr/>
          <w:p>
            <w:r>
              <w:rPr>
                <w:sz w:val="21"/>
                <w:szCs w:val="21"/>
              </w:rPr>
              <w:t>Petit schéma</w:t>
            </w:r>
          </w:p>
        </w:tc>
        <w:tc>
          <w:tcPr/>
          <w:p>
            <w:r>
              <w:rPr>
                <w:sz w:val="21"/>
                <w:szCs w:val="21"/>
              </w:rPr>
              <w:t>Échelle TRL</w:t>
            </w:r>
          </w:p>
        </w:tc>
      </w:tr>
      <w:tr>
        <w:tc>
          <w:tcPr/>
          <w:p>
            <w:r>
              <w:rPr>
                <w:sz w:val="21"/>
                <w:szCs w:val="21"/>
              </w:rPr>
              <w:t>3</w:t>
            </w:r>
          </w:p>
        </w:tc>
        <w:tc>
          <w:tcPr/>
          <w:p>
            <w:r>
              <w:rPr>
                <w:sz w:val="21"/>
                <w:szCs w:val="21"/>
              </w:rPr>
              <w:t>00:01:54</w:t>
            </w:r>
          </w:p>
        </w:tc>
        <w:tc>
          <w:tcPr/>
          <w:p>
            <w:r>
              <w:rPr>
                <w:sz w:val="21"/>
                <w:szCs w:val="21"/>
              </w:rPr>
              <w:t>Mot-clé</w:t>
            </w:r>
          </w:p>
        </w:tc>
        <w:tc>
          <w:tcPr/>
          <w:p>
            <w:r>
              <w:rPr>
                <w:sz w:val="21"/>
                <w:szCs w:val="21"/>
              </w:rPr>
              <w:t>Pivot</w:t>
            </w:r>
          </w:p>
        </w:tc>
      </w:tr>
      <w:tr>
        <w:tc>
          <w:tcPr/>
          <w:p>
            <w:r>
              <w:rPr>
                <w:sz w:val="21"/>
                <w:szCs w:val="21"/>
              </w:rPr>
              <w:t>4</w:t>
            </w:r>
          </w:p>
        </w:tc>
        <w:tc>
          <w:tcPr/>
          <w:p>
            <w:r>
              <w:rPr>
                <w:sz w:val="21"/>
                <w:szCs w:val="21"/>
              </w:rPr>
              <w:t>00:02:52</w:t>
            </w:r>
          </w:p>
        </w:tc>
        <w:tc>
          <w:tcPr/>
          <w:p>
            <w:r>
              <w:rPr>
                <w:sz w:val="21"/>
                <w:szCs w:val="21"/>
              </w:rPr>
              <w:t>Acronyme</w:t>
            </w:r>
          </w:p>
        </w:tc>
        <w:tc>
          <w:tcPr/>
          <w:p>
            <w:r>
              <w:rPr>
                <w:sz w:val="21"/>
                <w:szCs w:val="21"/>
              </w:rPr>
              <w:t>MVP</w:t>
            </w:r>
          </w:p>
        </w:tc>
      </w:tr>
      <w:tr>
        <w:tc>
          <w:tcPr/>
          <w:p>
            <w:r>
              <w:rPr>
                <w:sz w:val="21"/>
                <w:szCs w:val="21"/>
              </w:rPr>
              <w:t>5</w:t>
            </w:r>
          </w:p>
        </w:tc>
        <w:tc>
          <w:tcPr/>
          <w:p>
            <w:r>
              <w:rPr>
                <w:sz w:val="21"/>
                <w:szCs w:val="21"/>
              </w:rPr>
              <w:t>00:03:18</w:t>
            </w:r>
          </w:p>
        </w:tc>
        <w:tc>
          <w:tcPr/>
          <w:p>
            <w:r>
              <w:rPr>
                <w:sz w:val="21"/>
                <w:szCs w:val="21"/>
              </w:rPr>
              <w:t>Mot-clé</w:t>
            </w:r>
          </w:p>
        </w:tc>
        <w:tc>
          <w:tcPr/>
          <w:p>
            <w:r>
              <w:rPr>
                <w:sz w:val="21"/>
                <w:szCs w:val="21"/>
              </w:rPr>
              <w:t>Logique d’apprentissage</w:t>
            </w:r>
          </w:p>
        </w:tc>
      </w:tr>
      <w:tr>
        <w:tc>
          <w:tcPr/>
          <w:p>
            <w:r>
              <w:rPr>
                <w:sz w:val="21"/>
                <w:szCs w:val="21"/>
              </w:rPr>
              <w:t>6</w:t>
            </w:r>
          </w:p>
        </w:tc>
        <w:tc>
          <w:tcPr/>
          <w:p>
            <w:r>
              <w:rPr>
                <w:sz w:val="21"/>
                <w:szCs w:val="21"/>
              </w:rPr>
              <w:t>00:04:17</w:t>
            </w:r>
          </w:p>
        </w:tc>
        <w:tc>
          <w:tcPr/>
          <w:p>
            <w:r>
              <w:rPr>
                <w:sz w:val="21"/>
                <w:szCs w:val="21"/>
              </w:rPr>
              <w:t>Mot-clé</w:t>
            </w:r>
          </w:p>
        </w:tc>
        <w:tc>
          <w:tcPr/>
          <w:p>
            <w:r>
              <w:rPr>
                <w:sz w:val="21"/>
                <w:szCs w:val="21"/>
              </w:rPr>
              <w:t>Pas un casse-cou</w:t>
            </w:r>
          </w:p>
        </w:tc>
      </w:tr>
    </w:tbl>
    <w:p>
      <w:r>
        <w:rPr/>
        <w:t/>
      </w:r>
    </w:p>
    <w:p>
      <w:pPr>
        <w:pStyle w:val="Heading2"/>
      </w:pPr>
      <w:r>
        <w:rPr>
          <w:b/>
          <w:sz w:val="26"/>
          <w:szCs w:val="26"/>
        </w:rPr>
        <w:t>Fiches</w:t>
      </w:r>
    </w:p>
    <w:p>
      <w:pPr>
        <w:pStyle w:val="Heading2"/>
      </w:pPr>
      <w:r>
        <w:rPr>
          <w:b/>
          <w:sz w:val="26"/>
          <w:szCs w:val="26"/>
        </w:rPr>
        <w:t>1. 00:00:30–00:00:45 — Mot-clé</w:t>
      </w:r>
    </w:p>
    <w:p>
      <w:r>
        <w:rPr>
          <w:b/>
          <w:sz w:val="28"/>
          <w:szCs w:val="28"/>
        </w:rPr>
        <w:t>Réduire l’inconnu</w:t>
      </w:r>
    </w:p>
    <w:tbl>
      <w:tblPr>
        <w:tblW w:w="5000" w:type="pct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4819"/>
        <w:gridCol w:w="4819"/>
      </w:tblGrid>
      <w:tr>
        <w:tc>
          <w:tcPr>
            <w:shd w:val="clear" w:fill="F1F5F9"/>
          </w:tcPr>
          <w:p>
            <w:r>
              <w:rPr>
                <w:b/>
                <w:sz w:val="21"/>
                <w:szCs w:val="21"/>
              </w:rPr>
              <w:t>Horodatage</w:t>
            </w:r>
          </w:p>
        </w:tc>
        <w:tc>
          <w:tcPr/>
          <w:p>
            <w:r>
              <w:rPr>
                <w:sz w:val="21"/>
                <w:szCs w:val="21"/>
              </w:rPr>
              <w:t>00:00:30–00:00:45</w:t>
            </w:r>
          </w:p>
        </w:tc>
      </w:tr>
      <w:tr>
        <w:tc>
          <w:tcPr>
            <w:shd w:val="clear" w:fill="F1F5F9"/>
          </w:tcPr>
          <w:p>
            <w:r>
              <w:rPr>
                <w:b/>
                <w:sz w:val="21"/>
                <w:szCs w:val="21"/>
              </w:rPr>
              <w:t>Type</w:t>
            </w:r>
          </w:p>
        </w:tc>
        <w:tc>
          <w:tcPr/>
          <w:p>
            <w:r>
              <w:rPr>
                <w:sz w:val="21"/>
                <w:szCs w:val="21"/>
              </w:rPr>
              <w:t>Mot-clé</w:t>
            </w:r>
          </w:p>
        </w:tc>
      </w:tr>
      <w:tr>
        <w:tc>
          <w:tcPr>
            <w:shd w:val="clear" w:fill="F1F5F9"/>
          </w:tcPr>
          <w:p>
            <w:r>
              <w:rPr>
                <w:b/>
                <w:sz w:val="21"/>
                <w:szCs w:val="21"/>
              </w:rPr>
              <w:t>À l’écran</w:t>
            </w:r>
          </w:p>
        </w:tc>
        <w:tc>
          <w:tcPr/>
          <w:p>
            <w:r>
              <w:rPr>
                <w:sz w:val="21"/>
                <w:szCs w:val="21"/>
              </w:rPr>
              <w:t>Réduire l’inconnu</w:t>
            </w:r>
          </w:p>
        </w:tc>
      </w:tr>
      <w:tr>
        <w:tc>
          <w:tcPr>
            <w:shd w:val="clear" w:fill="F1F5F9"/>
          </w:tcPr>
          <w:p>
            <w:r>
              <w:rPr>
                <w:b/>
                <w:sz w:val="21"/>
                <w:szCs w:val="21"/>
              </w:rPr>
              <w:t>Voix</w:t>
            </w:r>
          </w:p>
        </w:tc>
        <w:tc>
          <w:tcPr/>
          <w:p>
            <w:r>
              <w:rPr>
                <w:sz w:val="21"/>
                <w:szCs w:val="21"/>
              </w:rPr>
              <w:t>Pascal Corbel</w:t>
            </w:r>
          </w:p>
        </w:tc>
      </w:tr>
      <w:tr>
        <w:tc>
          <w:tcPr>
            <w:shd w:val="clear" w:fill="F1F5F9"/>
          </w:tcPr>
          <w:p>
            <w:r>
              <w:rPr>
                <w:b/>
                <w:sz w:val="21"/>
                <w:szCs w:val="21"/>
              </w:rPr>
              <w:t>Verbatim</w:t>
            </w:r>
          </w:p>
        </w:tc>
        <w:tc>
          <w:tcPr/>
          <w:p>
            <w:r>
              <w:rPr>
                <w:sz w:val="21"/>
                <w:szCs w:val="21"/>
              </w:rPr>
              <w:t>En réalité, conduire un projet innovant, c'est piloter un processus d'apprentissage qui va peu à peu réduire les zones d'incertitude, et si le projet est effectivement viable, en réduire les risques à chaque étape.</w:t>
            </w:r>
          </w:p>
        </w:tc>
      </w:tr>
      <w:tr>
        <w:tc>
          <w:tcPr>
            <w:shd w:val="clear" w:fill="F1F5F9"/>
          </w:tcPr>
          <w:p>
            <w:r>
              <w:rPr>
                <w:b/>
                <w:sz w:val="21"/>
                <w:szCs w:val="21"/>
              </w:rPr>
              <w:t>Pourquoi</w:t>
            </w:r>
          </w:p>
        </w:tc>
        <w:tc>
          <w:tcPr/>
          <w:p>
            <w:r>
              <w:rPr>
                <w:sz w:val="21"/>
                <w:szCs w:val="21"/>
              </w:rPr>
              <w:t>Objectif E21 : innover = apprendre.</w:t>
            </w:r>
          </w:p>
        </w:tc>
      </w:tr>
    </w:tbl>
    <w:p>
      <w:r>
        <w:rPr/>
        <w:t/>
      </w:r>
    </w:p>
    <w:p>
      <w:pPr>
        <w:pStyle w:val="Heading2"/>
      </w:pPr>
      <w:r>
        <w:rPr>
          <w:b/>
          <w:sz w:val="26"/>
          <w:szCs w:val="26"/>
        </w:rPr>
        <w:t>2. 00:01:00–00:01:13 — Petit schéma</w:t>
      </w:r>
    </w:p>
    <w:p>
      <w:r>
        <w:rPr>
          <w:b/>
          <w:sz w:val="28"/>
          <w:szCs w:val="28"/>
        </w:rPr>
        <w:t>Échelle TRL</w:t>
      </w:r>
    </w:p>
    <w:tbl>
      <w:tblPr>
        <w:tblW w:w="5000" w:type="pct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4819"/>
        <w:gridCol w:w="4819"/>
      </w:tblGrid>
      <w:tr>
        <w:tc>
          <w:tcPr>
            <w:shd w:val="clear" w:fill="F1F5F9"/>
          </w:tcPr>
          <w:p>
            <w:r>
              <w:rPr>
                <w:b/>
                <w:sz w:val="21"/>
                <w:szCs w:val="21"/>
              </w:rPr>
              <w:t>Horodatage</w:t>
            </w:r>
          </w:p>
        </w:tc>
        <w:tc>
          <w:tcPr/>
          <w:p>
            <w:r>
              <w:rPr>
                <w:sz w:val="21"/>
                <w:szCs w:val="21"/>
              </w:rPr>
              <w:t>00:01:00–00:01:13</w:t>
            </w:r>
          </w:p>
        </w:tc>
      </w:tr>
      <w:tr>
        <w:tc>
          <w:tcPr>
            <w:shd w:val="clear" w:fill="F1F5F9"/>
          </w:tcPr>
          <w:p>
            <w:r>
              <w:rPr>
                <w:b/>
                <w:sz w:val="21"/>
                <w:szCs w:val="21"/>
              </w:rPr>
              <w:t>Type</w:t>
            </w:r>
          </w:p>
        </w:tc>
        <w:tc>
          <w:tcPr/>
          <w:p>
            <w:r>
              <w:rPr>
                <w:sz w:val="21"/>
                <w:szCs w:val="21"/>
              </w:rPr>
              <w:t>Petit schéma</w:t>
            </w:r>
          </w:p>
        </w:tc>
      </w:tr>
      <w:tr>
        <w:tc>
          <w:tcPr>
            <w:shd w:val="clear" w:fill="F1F5F9"/>
          </w:tcPr>
          <w:p>
            <w:r>
              <w:rPr>
                <w:b/>
                <w:sz w:val="21"/>
                <w:szCs w:val="21"/>
              </w:rPr>
              <w:t>À l’écran</w:t>
            </w:r>
          </w:p>
        </w:tc>
        <w:tc>
          <w:tcPr/>
          <w:p>
            <w:r>
              <w:rPr>
                <w:sz w:val="21"/>
                <w:szCs w:val="21"/>
              </w:rPr>
              <w:t>Échelle TRL</w:t>
            </w:r>
          </w:p>
        </w:tc>
      </w:tr>
      <w:tr>
        <w:tc>
          <w:tcPr>
            <w:shd w:val="clear" w:fill="F1F5F9"/>
          </w:tcPr>
          <w:p>
            <w:r>
              <w:rPr>
                <w:b/>
                <w:sz w:val="21"/>
                <w:szCs w:val="21"/>
              </w:rPr>
              <w:t>Développé</w:t>
            </w:r>
          </w:p>
        </w:tc>
        <w:tc>
          <w:tcPr/>
          <w:p>
            <w:r>
              <w:rPr>
                <w:sz w:val="21"/>
                <w:szCs w:val="21"/>
              </w:rPr>
              <w:t>Technology Readiness Level</w:t>
            </w:r>
          </w:p>
        </w:tc>
      </w:tr>
      <w:tr>
        <w:tc>
          <w:tcPr>
            <w:shd w:val="clear" w:fill="F1F5F9"/>
          </w:tcPr>
          <w:p>
            <w:r>
              <w:rPr>
                <w:b/>
                <w:sz w:val="21"/>
                <w:szCs w:val="21"/>
              </w:rPr>
              <w:t>Schéma (nœuds)</w:t>
            </w:r>
          </w:p>
        </w:tc>
        <w:tc>
          <w:tcPr/>
          <w:p>
            <w:r>
              <w:rPr>
                <w:sz w:val="21"/>
                <w:szCs w:val="21"/>
              </w:rPr>
              <w:t>TRL 1 → 9</w:t>
            </w:r>
          </w:p>
        </w:tc>
      </w:tr>
      <w:tr>
        <w:tc>
          <w:tcPr>
            <w:shd w:val="clear" w:fill="F1F5F9"/>
          </w:tcPr>
          <w:p>
            <w:r>
              <w:rPr>
                <w:b/>
                <w:sz w:val="21"/>
                <w:szCs w:val="21"/>
              </w:rPr>
              <w:t>Voix</w:t>
            </w:r>
          </w:p>
        </w:tc>
        <w:tc>
          <w:tcPr/>
          <w:p>
            <w:r>
              <w:rPr>
                <w:sz w:val="21"/>
                <w:szCs w:val="21"/>
              </w:rPr>
              <w:t>Pascal Corbel</w:t>
            </w:r>
          </w:p>
        </w:tc>
      </w:tr>
      <w:tr>
        <w:tc>
          <w:tcPr>
            <w:shd w:val="clear" w:fill="F1F5F9"/>
          </w:tcPr>
          <w:p>
            <w:r>
              <w:rPr>
                <w:b/>
                <w:sz w:val="21"/>
                <w:szCs w:val="21"/>
              </w:rPr>
              <w:t>Verbatim</w:t>
            </w:r>
          </w:p>
        </w:tc>
        <w:tc>
          <w:tcPr/>
          <w:p>
            <w:r>
              <w:rPr>
                <w:sz w:val="21"/>
                <w:szCs w:val="21"/>
              </w:rPr>
              <w:t>L'échelle bien connue des TRL, pour Technology Readiness Level, reflète d'une manière certes un peu trop linéaire par rapport à la réalité, cette avancée progressive d'un simple concept à un système complet commercialisé.</w:t>
            </w:r>
          </w:p>
        </w:tc>
      </w:tr>
      <w:tr>
        <w:tc>
          <w:tcPr>
            <w:shd w:val="clear" w:fill="F1F5F9"/>
          </w:tcPr>
          <w:p>
            <w:r>
              <w:rPr>
                <w:b/>
                <w:sz w:val="21"/>
                <w:szCs w:val="21"/>
              </w:rPr>
              <w:t>Pourquoi</w:t>
            </w:r>
          </w:p>
        </w:tc>
        <w:tc>
          <w:tcPr/>
          <w:p>
            <w:r>
              <w:rPr>
                <w:sz w:val="21"/>
                <w:szCs w:val="21"/>
              </w:rPr>
              <w:t>Première occurrence. Extraire 1→9 ; le tableau ISO 9 lignes reste dans le fascicule / E4.</w:t>
            </w:r>
          </w:p>
        </w:tc>
      </w:tr>
      <w:tr>
        <w:tc>
          <w:tcPr>
            <w:shd w:val="clear" w:fill="F1F5F9"/>
          </w:tcPr>
          <w:p>
            <w:r>
              <w:rPr>
                <w:b/>
                <w:sz w:val="21"/>
                <w:szCs w:val="21"/>
              </w:rPr>
              <w:t>Fascicule</w:t>
            </w:r>
          </w:p>
        </w:tc>
        <w:tc>
          <w:tcPr/>
          <w:p>
            <w:r>
              <w:rPr>
                <w:sz w:val="21"/>
                <w:szCs w:val="21"/>
              </w:rPr>
              <w:t>Fascicule 2, p. 12-13 — Échelle TRL (ISO 16290). Extrait écran : TRL 1 → 9. Ne pas incruster le tableau à 9 lignes. L’échelle complète reste dans le fascicule (grain E4).</w:t>
            </w:r>
          </w:p>
        </w:tc>
      </w:tr>
    </w:tbl>
    <w:p>
      <w:r>
        <w:rPr/>
        <w:t/>
      </w:r>
    </w:p>
    <w:p>
      <w:pPr>
        <w:pStyle w:val="Heading2"/>
      </w:pPr>
      <w:r>
        <w:rPr>
          <w:b/>
          <w:sz w:val="26"/>
          <w:szCs w:val="26"/>
        </w:rPr>
        <w:t>3. 00:01:54–00:01:57 — Mot-clé</w:t>
      </w:r>
    </w:p>
    <w:p>
      <w:r>
        <w:rPr>
          <w:b/>
          <w:sz w:val="28"/>
          <w:szCs w:val="28"/>
        </w:rPr>
        <w:t>Pivot</w:t>
      </w:r>
    </w:p>
    <w:tbl>
      <w:tblPr>
        <w:tblW w:w="5000" w:type="pct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4819"/>
        <w:gridCol w:w="4819"/>
      </w:tblGrid>
      <w:tr>
        <w:tc>
          <w:tcPr>
            <w:shd w:val="clear" w:fill="F1F5F9"/>
          </w:tcPr>
          <w:p>
            <w:r>
              <w:rPr>
                <w:b/>
                <w:sz w:val="21"/>
                <w:szCs w:val="21"/>
              </w:rPr>
              <w:t>Horodatage</w:t>
            </w:r>
          </w:p>
        </w:tc>
        <w:tc>
          <w:tcPr/>
          <w:p>
            <w:r>
              <w:rPr>
                <w:sz w:val="21"/>
                <w:szCs w:val="21"/>
              </w:rPr>
              <w:t>00:01:54–00:01:57</w:t>
            </w:r>
          </w:p>
        </w:tc>
      </w:tr>
      <w:tr>
        <w:tc>
          <w:tcPr>
            <w:shd w:val="clear" w:fill="F1F5F9"/>
          </w:tcPr>
          <w:p>
            <w:r>
              <w:rPr>
                <w:b/>
                <w:sz w:val="21"/>
                <w:szCs w:val="21"/>
              </w:rPr>
              <w:t>Type</w:t>
            </w:r>
          </w:p>
        </w:tc>
        <w:tc>
          <w:tcPr/>
          <w:p>
            <w:r>
              <w:rPr>
                <w:sz w:val="21"/>
                <w:szCs w:val="21"/>
              </w:rPr>
              <w:t>Mot-clé</w:t>
            </w:r>
          </w:p>
        </w:tc>
      </w:tr>
      <w:tr>
        <w:tc>
          <w:tcPr>
            <w:shd w:val="clear" w:fill="F1F5F9"/>
          </w:tcPr>
          <w:p>
            <w:r>
              <w:rPr>
                <w:b/>
                <w:sz w:val="21"/>
                <w:szCs w:val="21"/>
              </w:rPr>
              <w:t>À l’écran</w:t>
            </w:r>
          </w:p>
        </w:tc>
        <w:tc>
          <w:tcPr/>
          <w:p>
            <w:r>
              <w:rPr>
                <w:sz w:val="21"/>
                <w:szCs w:val="21"/>
              </w:rPr>
              <w:t>Pivot</w:t>
            </w:r>
          </w:p>
        </w:tc>
      </w:tr>
      <w:tr>
        <w:tc>
          <w:tcPr>
            <w:shd w:val="clear" w:fill="F1F5F9"/>
          </w:tcPr>
          <w:p>
            <w:r>
              <w:rPr>
                <w:b/>
                <w:sz w:val="21"/>
                <w:szCs w:val="21"/>
              </w:rPr>
              <w:t>Voix</w:t>
            </w:r>
          </w:p>
        </w:tc>
        <w:tc>
          <w:tcPr/>
          <w:p>
            <w:r>
              <w:rPr>
                <w:sz w:val="21"/>
                <w:szCs w:val="21"/>
              </w:rPr>
              <w:t>Pascal Corbel</w:t>
            </w:r>
          </w:p>
        </w:tc>
      </w:tr>
      <w:tr>
        <w:tc>
          <w:tcPr>
            <w:shd w:val="clear" w:fill="F1F5F9"/>
          </w:tcPr>
          <w:p>
            <w:r>
              <w:rPr>
                <w:b/>
                <w:sz w:val="21"/>
                <w:szCs w:val="21"/>
              </w:rPr>
              <w:t>Verbatim</w:t>
            </w:r>
          </w:p>
        </w:tc>
        <w:tc>
          <w:tcPr/>
          <w:p>
            <w:r>
              <w:rPr>
                <w:sz w:val="21"/>
                <w:szCs w:val="21"/>
              </w:rPr>
              <w:t>C'est ce que, dans le monde des start-up, on appelle des pivots.</w:t>
            </w:r>
          </w:p>
        </w:tc>
      </w:tr>
      <w:tr>
        <w:tc>
          <w:tcPr>
            <w:shd w:val="clear" w:fill="F1F5F9"/>
          </w:tcPr>
          <w:p>
            <w:r>
              <w:rPr>
                <w:b/>
                <w:sz w:val="21"/>
                <w:szCs w:val="21"/>
              </w:rPr>
              <w:t>Pourquoi</w:t>
            </w:r>
          </w:p>
        </w:tc>
        <w:tc>
          <w:tcPr/>
          <w:p>
            <w:r>
              <w:rPr>
                <w:sz w:val="21"/>
                <w:szCs w:val="21"/>
              </w:rPr>
              <w:t>Impasse → virage, pas échec.</w:t>
            </w:r>
          </w:p>
        </w:tc>
      </w:tr>
    </w:tbl>
    <w:p>
      <w:r>
        <w:rPr/>
        <w:t/>
      </w:r>
    </w:p>
    <w:p>
      <w:pPr>
        <w:pStyle w:val="Heading2"/>
      </w:pPr>
      <w:r>
        <w:rPr>
          <w:b/>
          <w:sz w:val="26"/>
          <w:szCs w:val="26"/>
        </w:rPr>
        <w:t>4. 00:02:52–00:03:04 — Acronyme</w:t>
      </w:r>
    </w:p>
    <w:p>
      <w:r>
        <w:rPr>
          <w:b/>
          <w:sz w:val="28"/>
          <w:szCs w:val="28"/>
        </w:rPr>
        <w:t>MVP</w:t>
      </w:r>
    </w:p>
    <w:tbl>
      <w:tblPr>
        <w:tblW w:w="5000" w:type="pct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4819"/>
        <w:gridCol w:w="4819"/>
      </w:tblGrid>
      <w:tr>
        <w:tc>
          <w:tcPr>
            <w:shd w:val="clear" w:fill="F1F5F9"/>
          </w:tcPr>
          <w:p>
            <w:r>
              <w:rPr>
                <w:b/>
                <w:sz w:val="21"/>
                <w:szCs w:val="21"/>
              </w:rPr>
              <w:t>Horodatage</w:t>
            </w:r>
          </w:p>
        </w:tc>
        <w:tc>
          <w:tcPr/>
          <w:p>
            <w:r>
              <w:rPr>
                <w:sz w:val="21"/>
                <w:szCs w:val="21"/>
              </w:rPr>
              <w:t>00:02:52–00:03:04</w:t>
            </w:r>
          </w:p>
        </w:tc>
      </w:tr>
      <w:tr>
        <w:tc>
          <w:tcPr>
            <w:shd w:val="clear" w:fill="F1F5F9"/>
          </w:tcPr>
          <w:p>
            <w:r>
              <w:rPr>
                <w:b/>
                <w:sz w:val="21"/>
                <w:szCs w:val="21"/>
              </w:rPr>
              <w:t>Type</w:t>
            </w:r>
          </w:p>
        </w:tc>
        <w:tc>
          <w:tcPr/>
          <w:p>
            <w:r>
              <w:rPr>
                <w:sz w:val="21"/>
                <w:szCs w:val="21"/>
              </w:rPr>
              <w:t>Acronyme</w:t>
            </w:r>
          </w:p>
        </w:tc>
      </w:tr>
      <w:tr>
        <w:tc>
          <w:tcPr>
            <w:shd w:val="clear" w:fill="F1F5F9"/>
          </w:tcPr>
          <w:p>
            <w:r>
              <w:rPr>
                <w:b/>
                <w:sz w:val="21"/>
                <w:szCs w:val="21"/>
              </w:rPr>
              <w:t>À l’écran</w:t>
            </w:r>
          </w:p>
        </w:tc>
        <w:tc>
          <w:tcPr/>
          <w:p>
            <w:r>
              <w:rPr>
                <w:sz w:val="21"/>
                <w:szCs w:val="21"/>
              </w:rPr>
              <w:t>MVP</w:t>
            </w:r>
          </w:p>
        </w:tc>
      </w:tr>
      <w:tr>
        <w:tc>
          <w:tcPr>
            <w:shd w:val="clear" w:fill="F1F5F9"/>
          </w:tcPr>
          <w:p>
            <w:r>
              <w:rPr>
                <w:b/>
                <w:sz w:val="21"/>
                <w:szCs w:val="21"/>
              </w:rPr>
              <w:t>Développé</w:t>
            </w:r>
          </w:p>
        </w:tc>
        <w:tc>
          <w:tcPr/>
          <w:p>
            <w:r>
              <w:rPr>
                <w:sz w:val="21"/>
                <w:szCs w:val="21"/>
              </w:rPr>
              <w:t>Minimum Viable Product</w:t>
            </w:r>
          </w:p>
        </w:tc>
      </w:tr>
      <w:tr>
        <w:tc>
          <w:tcPr>
            <w:shd w:val="clear" w:fill="F1F5F9"/>
          </w:tcPr>
          <w:p>
            <w:r>
              <w:rPr>
                <w:b/>
                <w:sz w:val="21"/>
                <w:szCs w:val="21"/>
              </w:rPr>
              <w:t>Voix</w:t>
            </w:r>
          </w:p>
        </w:tc>
        <w:tc>
          <w:tcPr/>
          <w:p>
            <w:r>
              <w:rPr>
                <w:sz w:val="21"/>
                <w:szCs w:val="21"/>
              </w:rPr>
              <w:t>Pascal Corbel</w:t>
            </w:r>
          </w:p>
        </w:tc>
      </w:tr>
      <w:tr>
        <w:tc>
          <w:tcPr>
            <w:shd w:val="clear" w:fill="F1F5F9"/>
          </w:tcPr>
          <w:p>
            <w:r>
              <w:rPr>
                <w:b/>
                <w:sz w:val="21"/>
                <w:szCs w:val="21"/>
              </w:rPr>
              <w:t>Verbatim</w:t>
            </w:r>
          </w:p>
        </w:tc>
        <w:tc>
          <w:tcPr/>
          <w:p>
            <w:r>
              <w:rPr>
                <w:sz w:val="21"/>
                <w:szCs w:val="21"/>
              </w:rPr>
              <w:t>Les start-uppers parlent de MVP pour Minimum Viable Product, et ce pour glaner des retours clients, des données d'utilisation et parfois de vente si cette V0 n'est pas gratuite.</w:t>
            </w:r>
          </w:p>
        </w:tc>
      </w:tr>
      <w:tr>
        <w:tc>
          <w:tcPr>
            <w:shd w:val="clear" w:fill="F1F5F9"/>
          </w:tcPr>
          <w:p>
            <w:r>
              <w:rPr>
                <w:b/>
                <w:sz w:val="21"/>
                <w:szCs w:val="21"/>
              </w:rPr>
              <w:t>Pourquoi</w:t>
            </w:r>
          </w:p>
        </w:tc>
        <w:tc>
          <w:tcPr/>
          <w:p>
            <w:r>
              <w:rPr>
                <w:sz w:val="21"/>
                <w:szCs w:val="21"/>
              </w:rPr>
              <w:t>Ici le sigle est enseigné (après T11).</w:t>
            </w:r>
          </w:p>
        </w:tc>
      </w:tr>
    </w:tbl>
    <w:p>
      <w:r>
        <w:rPr/>
        <w:t/>
      </w:r>
    </w:p>
    <w:p>
      <w:pPr>
        <w:pStyle w:val="Heading2"/>
      </w:pPr>
      <w:r>
        <w:rPr>
          <w:b/>
          <w:sz w:val="26"/>
          <w:szCs w:val="26"/>
        </w:rPr>
        <w:t>5. 00:03:18–00:03:23 — Mot-clé</w:t>
      </w:r>
    </w:p>
    <w:p>
      <w:r>
        <w:rPr>
          <w:b/>
          <w:sz w:val="28"/>
          <w:szCs w:val="28"/>
        </w:rPr>
        <w:t>Logique d’apprentissage</w:t>
      </w:r>
    </w:p>
    <w:tbl>
      <w:tblPr>
        <w:tblW w:w="5000" w:type="pct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4819"/>
        <w:gridCol w:w="4819"/>
      </w:tblGrid>
      <w:tr>
        <w:tc>
          <w:tcPr>
            <w:shd w:val="clear" w:fill="F1F5F9"/>
          </w:tcPr>
          <w:p>
            <w:r>
              <w:rPr>
                <w:b/>
                <w:sz w:val="21"/>
                <w:szCs w:val="21"/>
              </w:rPr>
              <w:t>Horodatage</w:t>
            </w:r>
          </w:p>
        </w:tc>
        <w:tc>
          <w:tcPr/>
          <w:p>
            <w:r>
              <w:rPr>
                <w:sz w:val="21"/>
                <w:szCs w:val="21"/>
              </w:rPr>
              <w:t>00:03:18–00:03:23</w:t>
            </w:r>
          </w:p>
        </w:tc>
      </w:tr>
      <w:tr>
        <w:tc>
          <w:tcPr>
            <w:shd w:val="clear" w:fill="F1F5F9"/>
          </w:tcPr>
          <w:p>
            <w:r>
              <w:rPr>
                <w:b/>
                <w:sz w:val="21"/>
                <w:szCs w:val="21"/>
              </w:rPr>
              <w:t>Type</w:t>
            </w:r>
          </w:p>
        </w:tc>
        <w:tc>
          <w:tcPr/>
          <w:p>
            <w:r>
              <w:rPr>
                <w:sz w:val="21"/>
                <w:szCs w:val="21"/>
              </w:rPr>
              <w:t>Mot-clé</w:t>
            </w:r>
          </w:p>
        </w:tc>
      </w:tr>
      <w:tr>
        <w:tc>
          <w:tcPr>
            <w:shd w:val="clear" w:fill="F1F5F9"/>
          </w:tcPr>
          <w:p>
            <w:r>
              <w:rPr>
                <w:b/>
                <w:sz w:val="21"/>
                <w:szCs w:val="21"/>
              </w:rPr>
              <w:t>À l’écran</w:t>
            </w:r>
          </w:p>
        </w:tc>
        <w:tc>
          <w:tcPr/>
          <w:p>
            <w:r>
              <w:rPr>
                <w:sz w:val="21"/>
                <w:szCs w:val="21"/>
              </w:rPr>
              <w:t>Logique d’apprentissage</w:t>
            </w:r>
          </w:p>
        </w:tc>
      </w:tr>
      <w:tr>
        <w:tc>
          <w:tcPr>
            <w:shd w:val="clear" w:fill="F1F5F9"/>
          </w:tcPr>
          <w:p>
            <w:r>
              <w:rPr>
                <w:b/>
                <w:sz w:val="21"/>
                <w:szCs w:val="21"/>
              </w:rPr>
              <w:t>Voix</w:t>
            </w:r>
          </w:p>
        </w:tc>
        <w:tc>
          <w:tcPr/>
          <w:p>
            <w:r>
              <w:rPr>
                <w:sz w:val="21"/>
                <w:szCs w:val="21"/>
              </w:rPr>
              <w:t>Pascal Corbel</w:t>
            </w:r>
          </w:p>
        </w:tc>
      </w:tr>
      <w:tr>
        <w:tc>
          <w:tcPr>
            <w:shd w:val="clear" w:fill="F1F5F9"/>
          </w:tcPr>
          <w:p>
            <w:r>
              <w:rPr>
                <w:b/>
                <w:sz w:val="21"/>
                <w:szCs w:val="21"/>
              </w:rPr>
              <w:t>Verbatim</w:t>
            </w:r>
          </w:p>
        </w:tc>
        <w:tc>
          <w:tcPr/>
          <w:p>
            <w:r>
              <w:rPr>
                <w:sz w:val="21"/>
                <w:szCs w:val="21"/>
              </w:rPr>
              <w:t>Mais la logique d'apprentissage, elle, ne change pas.</w:t>
            </w:r>
          </w:p>
        </w:tc>
      </w:tr>
      <w:tr>
        <w:tc>
          <w:tcPr>
            <w:shd w:val="clear" w:fill="F1F5F9"/>
          </w:tcPr>
          <w:p>
            <w:r>
              <w:rPr>
                <w:b/>
                <w:sz w:val="21"/>
                <w:szCs w:val="21"/>
              </w:rPr>
              <w:t>Pourquoi</w:t>
            </w:r>
          </w:p>
        </w:tc>
        <w:tc>
          <w:tcPr/>
          <w:p>
            <w:r>
              <w:rPr>
                <w:sz w:val="21"/>
                <w:szCs w:val="21"/>
              </w:rPr>
              <w:t>Indépendante du secteur.</w:t>
            </w:r>
          </w:p>
        </w:tc>
      </w:tr>
    </w:tbl>
    <w:p>
      <w:r>
        <w:rPr/>
        <w:t/>
      </w:r>
    </w:p>
    <w:p>
      <w:pPr>
        <w:pStyle w:val="Heading2"/>
      </w:pPr>
      <w:r>
        <w:rPr>
          <w:b/>
          <w:sz w:val="26"/>
          <w:szCs w:val="26"/>
        </w:rPr>
        <w:t>6. 00:04:17–00:04:24 — Mot-clé</w:t>
      </w:r>
    </w:p>
    <w:p>
      <w:r>
        <w:rPr>
          <w:b/>
          <w:sz w:val="28"/>
          <w:szCs w:val="28"/>
        </w:rPr>
        <w:t>Pas un casse-cou</w:t>
      </w:r>
    </w:p>
    <w:tbl>
      <w:tblPr>
        <w:tblW w:w="5000" w:type="pct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4819"/>
        <w:gridCol w:w="4819"/>
      </w:tblGrid>
      <w:tr>
        <w:tc>
          <w:tcPr>
            <w:shd w:val="clear" w:fill="F1F5F9"/>
          </w:tcPr>
          <w:p>
            <w:r>
              <w:rPr>
                <w:b/>
                <w:sz w:val="21"/>
                <w:szCs w:val="21"/>
              </w:rPr>
              <w:t>Horodatage</w:t>
            </w:r>
          </w:p>
        </w:tc>
        <w:tc>
          <w:tcPr/>
          <w:p>
            <w:r>
              <w:rPr>
                <w:sz w:val="21"/>
                <w:szCs w:val="21"/>
              </w:rPr>
              <w:t>00:04:17–00:04:24</w:t>
            </w:r>
          </w:p>
        </w:tc>
      </w:tr>
      <w:tr>
        <w:tc>
          <w:tcPr>
            <w:shd w:val="clear" w:fill="F1F5F9"/>
          </w:tcPr>
          <w:p>
            <w:r>
              <w:rPr>
                <w:b/>
                <w:sz w:val="21"/>
                <w:szCs w:val="21"/>
              </w:rPr>
              <w:t>Type</w:t>
            </w:r>
          </w:p>
        </w:tc>
        <w:tc>
          <w:tcPr/>
          <w:p>
            <w:r>
              <w:rPr>
                <w:sz w:val="21"/>
                <w:szCs w:val="21"/>
              </w:rPr>
              <w:t>Mot-clé</w:t>
            </w:r>
          </w:p>
        </w:tc>
      </w:tr>
      <w:tr>
        <w:tc>
          <w:tcPr>
            <w:shd w:val="clear" w:fill="F1F5F9"/>
          </w:tcPr>
          <w:p>
            <w:r>
              <w:rPr>
                <w:b/>
                <w:sz w:val="21"/>
                <w:szCs w:val="21"/>
              </w:rPr>
              <w:t>À l’écran</w:t>
            </w:r>
          </w:p>
        </w:tc>
        <w:tc>
          <w:tcPr/>
          <w:p>
            <w:r>
              <w:rPr>
                <w:sz w:val="21"/>
                <w:szCs w:val="21"/>
              </w:rPr>
              <w:t>Pas un casse-cou</w:t>
            </w:r>
          </w:p>
        </w:tc>
      </w:tr>
      <w:tr>
        <w:tc>
          <w:tcPr>
            <w:shd w:val="clear" w:fill="F1F5F9"/>
          </w:tcPr>
          <w:p>
            <w:r>
              <w:rPr>
                <w:b/>
                <w:sz w:val="21"/>
                <w:szCs w:val="21"/>
              </w:rPr>
              <w:t>Voix</w:t>
            </w:r>
          </w:p>
        </w:tc>
        <w:tc>
          <w:tcPr/>
          <w:p>
            <w:r>
              <w:rPr>
                <w:sz w:val="21"/>
                <w:szCs w:val="21"/>
              </w:rPr>
              <w:t>Pascal Corbel</w:t>
            </w:r>
          </w:p>
        </w:tc>
      </w:tr>
      <w:tr>
        <w:tc>
          <w:tcPr>
            <w:shd w:val="clear" w:fill="F1F5F9"/>
          </w:tcPr>
          <w:p>
            <w:r>
              <w:rPr>
                <w:b/>
                <w:sz w:val="21"/>
                <w:szCs w:val="21"/>
              </w:rPr>
              <w:t>Verbatim</w:t>
            </w:r>
          </w:p>
        </w:tc>
        <w:tc>
          <w:tcPr/>
          <w:p>
            <w:r>
              <w:rPr>
                <w:sz w:val="21"/>
                <w:szCs w:val="21"/>
              </w:rPr>
              <w:t>C'est plutôt celle d'un humain cherchant peu à peu à mieux comprendre les différentes dimensions de son projet.</w:t>
            </w:r>
          </w:p>
        </w:tc>
      </w:tr>
      <w:tr>
        <w:tc>
          <w:tcPr>
            <w:shd w:val="clear" w:fill="F1F5F9"/>
          </w:tcPr>
          <w:p>
            <w:r>
              <w:rPr>
                <w:b/>
                <w:sz w:val="21"/>
                <w:szCs w:val="21"/>
              </w:rPr>
              <w:t>Pourquoi</w:t>
            </w:r>
          </w:p>
        </w:tc>
        <w:tc>
          <w:tcPr/>
          <w:p>
            <w:r>
              <w:rPr>
                <w:sz w:val="21"/>
                <w:szCs w:val="21"/>
              </w:rPr>
              <w:t>Posture de l’innovateur.</w:t>
            </w:r>
          </w:p>
        </w:tc>
      </w:tr>
    </w:tbl>
    <w:p>
      <w:r>
        <w:rPr/>
        <w:t/>
      </w:r>
    </w:p>
    <w:sectPr>
      <w:pgSz w:w="11906" w:h="16838"/>
      <w:pgMar w:top="1134" w:right="1134" w:bottom="1134" w:left="1134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style w:type="paragraph" w:default="1" w:styleId="Normal">
    <w:name w:val="Normal"/>
    <w:rPr>
      <w:rFonts w:ascii="Calibri" w:hAnsi="Calibri"/>
      <w:sz w:val="22"/>
    </w:rPr>
  </w:style>
  <w:style w:type="paragraph" w:styleId="Heading1">
    <w:name w:val="heading 1"/>
    <w:basedOn w:val="Normal"/>
    <w:qFormat/>
    <w:pPr>
      <w:outlineLvl w:val="0"/>
    </w:pPr>
    <w:rPr>
      <w:b/>
      <w:sz w:val="36"/>
    </w:rPr>
  </w:style>
  <w:style w:type="paragraph" w:styleId="Heading2">
    <w:name w:val="heading 2"/>
    <w:basedOn w:val="Normal"/>
    <w:qFormat/>
    <w:pPr>
      <w:outlineLvl w:val="1"/>
    </w:pPr>
    <w:rPr>
      <w:b/>
      <w:sz w:val="26"/>
    </w:rPr>
  </w:style>
</w:styles>
</file>

<file path=word/_rels/document.xml.rels><?xml version="1.0" encoding="UTF-8" standalone="yes"?>
        <Relationships xmlns="http://schemas.openxmlformats.org/package/2006/relationships">
          <Relationship Id="rId1" Type="http://schemas.openxmlformats.org/officeDocument/2006/relationships/styles" Target="styles.xml"/>
          <Relationship Id="rId2" Type="http://schemas.openxmlformats.org/officeDocument/2006/relationships/settings" Target="settings.xml"/>
        </Relationships>
        
</file>

<file path=docProps/app.xml><?xml version="1.0" encoding="utf-8"?>
<Properties xmlns="http://schemas.openxmlformats.org/officeDocument/2006/extended-properti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>
  <dc:title>Incrustations — E21</dc:title>
  <dc:creator>Dérushage chorale</dc:creator>
</cp:coreProperties>
</file>