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        <Relationships xmlns="http://schemas.openxmlformats.org/package/2006/relationships">
          <Relationship Id="rId1" Type="http://schemas.openxmlformats.org/officeDocument/2006/relationships/officeDocument" Target="word/document.xml"/>
          <Relationship Id="rId2" Type="http://schemas.openxmlformats.org/package/2006/relationships/metadata/core-properties" Target="docProps/core.xml"/>
          <Relationship Id="rId3" Type="http://schemas.openxmlformats.org/officeDocument/2006/relationships/extended-properties" Target="docProps/app.xml"/>
        </Relationships>
        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36"/>
          <w:szCs w:val="36"/>
        </w:rPr>
        <w:t>Incrustations — E8</w:t>
      </w:r>
    </w:p>
    <w:p>
      <w:r>
        <w:rPr>
          <w:b/>
        </w:rPr>
        <w:t>Vidéo Expert 8 — Choisir un mode de protection adapté. Brevetabilité, secret, savoir-faire, logiciel, preuve et confidentialité.</w:t>
      </w:r>
    </w:p>
    <w:p>
      <w:r>
        <w:rPr>
          <w:b/>
        </w:rPr>
        <w:t xml:space="preserve">Objectif de la vidéo. </w:t>
      </w:r>
      <w:r>
        <w:rPr/>
        <w:t>Choisir un mode de protection adapté. Brevetabilité, secret, savoir-faire, logiciel, preuve et confidentialité.</w:t>
      </w:r>
    </w:p>
    <w:p>
      <w:r>
        <w:rPr>
          <w:sz w:val="21"/>
          <w:szCs w:val="21"/>
          <w:color w:val="5C6B7A"/>
        </w:rPr>
        <w:t>7 propositions · durée 06:31</w:t>
      </w:r>
    </w:p>
    <w:p>
      <w:r>
        <w:rPr>
          <w:sz w:val="21"/>
          <w:szCs w:val="21"/>
          <w:color w:val="5C6B7A"/>
        </w:rPr>
        <w:t>Le texte à l’écran n’est pas le verbatim. Motion faible : mot-clé (1 à 4 mots), acronyme développé à la première rencontre, ou petit schéma (2 à 4 nœuds). Les sous-titres d’accessibilité restent séparés.</w:t>
      </w:r>
    </w:p>
    <w:p>
      <w:pPr>
        <w:pStyle w:val="Heading2"/>
      </w:pPr>
      <w:r>
        <w:rPr>
          <w:b/>
          <w:sz w:val="26"/>
          <w:szCs w:val="26"/>
        </w:rPr>
        <w:t>Récapitulatif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09"/>
        <w:gridCol w:w="2409"/>
        <w:gridCol w:w="2409"/>
        <w:gridCol w:w="2409"/>
      </w:tblGrid>
      <w:tr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n°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Timecode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1</w:t>
            </w:r>
          </w:p>
        </w:tc>
        <w:tc>
          <w:tcPr/>
          <w:p>
            <w:r>
              <w:rPr>
                <w:sz w:val="21"/>
                <w:szCs w:val="21"/>
              </w:rPr>
              <w:t>00:00:07</w:t>
            </w:r>
          </w:p>
        </w:tc>
        <w:tc>
          <w:tcPr/>
          <w:p>
            <w:r>
              <w:rPr>
                <w:sz w:val="21"/>
                <w:szCs w:val="21"/>
              </w:rPr>
              <w:t>Acronyme</w:t>
            </w:r>
          </w:p>
        </w:tc>
        <w:tc>
          <w:tcPr/>
          <w:p>
            <w:r>
              <w:rPr>
                <w:sz w:val="21"/>
                <w:szCs w:val="21"/>
              </w:rPr>
              <w:t>INPI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2</w:t>
            </w:r>
          </w:p>
        </w:tc>
        <w:tc>
          <w:tcPr/>
          <w:p>
            <w:r>
              <w:rPr>
                <w:sz w:val="21"/>
                <w:szCs w:val="21"/>
              </w:rPr>
              <w:t>00:01:12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  <w:tc>
          <w:tcPr/>
          <w:p>
            <w:r>
              <w:rPr>
                <w:sz w:val="21"/>
                <w:szCs w:val="21"/>
              </w:rPr>
              <w:t>Brevet ou secret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3</w:t>
            </w:r>
          </w:p>
        </w:tc>
        <w:tc>
          <w:tcPr/>
          <w:p>
            <w:r>
              <w:rPr>
                <w:sz w:val="21"/>
                <w:szCs w:val="21"/>
              </w:rPr>
              <w:t>00:01:39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Publier tue la nouveauté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4</w:t>
            </w:r>
          </w:p>
        </w:tc>
        <w:tc>
          <w:tcPr/>
          <w:p>
            <w:r>
              <w:rPr>
                <w:sz w:val="21"/>
                <w:szCs w:val="21"/>
              </w:rPr>
              <w:t>00:01:51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Savoir-faire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5</w:t>
            </w:r>
          </w:p>
        </w:tc>
        <w:tc>
          <w:tcPr/>
          <w:p>
            <w:r>
              <w:rPr>
                <w:sz w:val="21"/>
                <w:szCs w:val="21"/>
              </w:rPr>
              <w:t>00:02:42</w:t>
            </w:r>
          </w:p>
        </w:tc>
        <w:tc>
          <w:tcPr/>
          <w:p>
            <w:r>
              <w:rPr>
                <w:sz w:val="21"/>
                <w:szCs w:val="21"/>
              </w:rPr>
              <w:t>Acronyme</w:t>
            </w:r>
          </w:p>
        </w:tc>
        <w:tc>
          <w:tcPr/>
          <w:p>
            <w:r>
              <w:rPr>
                <w:sz w:val="21"/>
                <w:szCs w:val="21"/>
              </w:rPr>
              <w:t>NDA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6</w:t>
            </w:r>
          </w:p>
        </w:tc>
        <w:tc>
          <w:tcPr/>
          <w:p>
            <w:r>
              <w:rPr>
                <w:sz w:val="21"/>
                <w:szCs w:val="21"/>
              </w:rPr>
              <w:t>00:04:01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Rétro-ingénierie ?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7</w:t>
            </w:r>
          </w:p>
        </w:tc>
        <w:tc>
          <w:tcPr/>
          <w:p>
            <w:r>
              <w:rPr>
                <w:sz w:val="21"/>
                <w:szCs w:val="21"/>
              </w:rPr>
              <w:t>00:04:55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Lever des fonds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Fiches</w:t>
      </w:r>
    </w:p>
    <w:p>
      <w:pPr>
        <w:pStyle w:val="Heading2"/>
      </w:pPr>
      <w:r>
        <w:rPr>
          <w:b/>
          <w:sz w:val="26"/>
          <w:szCs w:val="26"/>
        </w:rPr>
        <w:t>1. 00:00:07–00:00:13 — Acronyme</w:t>
      </w:r>
    </w:p>
    <w:p>
      <w:r>
        <w:rPr>
          <w:b/>
          <w:sz w:val="28"/>
          <w:szCs w:val="28"/>
        </w:rPr>
        <w:t>INPI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00:00:07–00:00:13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Acronyme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INPI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Développé</w:t>
            </w:r>
          </w:p>
        </w:tc>
        <w:tc>
          <w:tcPr/>
          <w:p>
            <w:r>
              <w:rPr>
                <w:sz w:val="21"/>
                <w:szCs w:val="21"/>
              </w:rPr>
              <w:t>Institut national de la propriété industrielle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Stanislas De Lapasse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Je suis chargé d'affaires à l'INPI, l'Institut national de la propriété industrielle.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Première occurrence ; l’institution du grain.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2. 00:01:12–00:01:18 — Petit schéma</w:t>
      </w:r>
    </w:p>
    <w:p>
      <w:r>
        <w:rPr>
          <w:b/>
          <w:sz w:val="28"/>
          <w:szCs w:val="28"/>
        </w:rPr>
        <w:t>Brevet ou secret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00:01:12–00:01:18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Brevet ou secret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Schéma (nœuds)</w:t>
            </w:r>
          </w:p>
        </w:tc>
        <w:tc>
          <w:tcPr/>
          <w:p>
            <w:r>
              <w:rPr>
                <w:sz w:val="21"/>
                <w:szCs w:val="21"/>
              </w:rPr>
              <w:t>Brevet | Secret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Stanislas De Lapasse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Il faut donc savoir comment s'y prendre pour choisir entre brevet et secret pour la protection des innovations techniques.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Objectif E8 : extrait du tableau des types de protection F1.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Fascicule</w:t>
            </w:r>
          </w:p>
        </w:tc>
        <w:tc>
          <w:tcPr/>
          <w:p>
            <w:r>
              <w:rPr>
                <w:sz w:val="21"/>
                <w:szCs w:val="21"/>
              </w:rPr>
              <w:t>Fascicule 1, p. 9-10 — Types de protection. Extrait écran : Brevet | Secret. Extrait du tableau p. 9-10 (brevet, secret, marque, dessin, Soleau…). Ne pas incruster le tableau complet.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3. 00:01:39–00:01:45 — Mot-clé</w:t>
      </w:r>
    </w:p>
    <w:p>
      <w:r>
        <w:rPr>
          <w:b/>
          <w:sz w:val="28"/>
          <w:szCs w:val="28"/>
        </w:rPr>
        <w:t>Publier tue la nouveauté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00:01:39–00:01:45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Publier tue la nouveauté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Stanislas De Lapasse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En effet, la publication détruit la nouveauté de votre innovation et donc plus aucun dépôt de brevet n'est possible.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Lien avec T5 / E6.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4. 00:01:51–00:01:54 — Mot-clé</w:t>
      </w:r>
    </w:p>
    <w:p>
      <w:r>
        <w:rPr>
          <w:b/>
          <w:sz w:val="28"/>
          <w:szCs w:val="28"/>
        </w:rPr>
        <w:t>Savoir-faire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00:01:51–00:01:54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Savoir-faire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Stanislas De Lapasse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Votre innovation technique secrète s'appelle un savoir-faire.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Nommer le secret documenté.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5. 00:02:42–00:02:51 — Acronyme</w:t>
      </w:r>
    </w:p>
    <w:p>
      <w:r>
        <w:rPr>
          <w:b/>
          <w:sz w:val="28"/>
          <w:szCs w:val="28"/>
        </w:rPr>
        <w:t>NDA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00:02:42–00:02:51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Acronyme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NDA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Développé</w:t>
            </w:r>
          </w:p>
        </w:tc>
        <w:tc>
          <w:tcPr/>
          <w:p>
            <w:r>
              <w:rPr>
                <w:sz w:val="21"/>
                <w:szCs w:val="21"/>
              </w:rPr>
              <w:t>Accord de confidentialité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Stanislas De Lapasse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Cela passe par des mesures contractuelles, comme des accords de confidentialité ou NDA, bien adaptés à chaque situation et toutes clauses de confidentialité.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Mesure contractuelle du secret.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6. 00:04:01–00:04:08 — Mot-clé</w:t>
      </w:r>
    </w:p>
    <w:p>
      <w:r>
        <w:rPr>
          <w:b/>
          <w:sz w:val="28"/>
          <w:szCs w:val="28"/>
        </w:rPr>
        <w:t>Rétro-ingénierie ?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00:04:01–00:04:08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Rétro-ingénierie ?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Stanislas De Lapasse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Peut-on retrouver par retro-engineering mon savoir-faire derrière le produit ou service qui sera finalement commercialisé?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Critère de choix brevet vs secret.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7. 00:04:55–00:04:59 — Mot-clé</w:t>
      </w:r>
    </w:p>
    <w:p>
      <w:r>
        <w:rPr>
          <w:b/>
          <w:sz w:val="28"/>
          <w:szCs w:val="28"/>
        </w:rPr>
        <w:t>Lever des fonds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00:04:55–00:04:59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Lever des fonds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Stanislas De Lapasse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Il est donc plus simple de lever des fonds avec un brevet qu'avec un secret.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Le brevet rassure l’investisseur — pont vers E9.</w:t>
            </w:r>
          </w:p>
        </w:tc>
      </w:tr>
    </w:tbl>
    <w:p>
      <w:r>
        <w:rPr/>
        <w:t/>
      </w:r>
    </w:p>
    <w:sectPr>
      <w:pgSz w:w="11906" w:h="16838"/>
      <w:pgMar w:top="1134" w:right="1134" w:bottom="1134" w:left="1134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2"/>
    </w:rPr>
  </w:style>
  <w:style w:type="paragraph" w:styleId="Heading1">
    <w:name w:val="heading 1"/>
    <w:basedOn w:val="Normal"/>
    <w:qFormat/>
    <w:pPr>
      <w:outlineLvl w:val="0"/>
    </w:pPr>
    <w:rPr>
      <w:b/>
      <w:sz w:val="36"/>
    </w:rPr>
  </w:style>
  <w:style w:type="paragraph" w:styleId="Heading2">
    <w:name w:val="heading 2"/>
    <w:basedOn w:val="Normal"/>
    <w:qFormat/>
    <w:pPr>
      <w:outlineLvl w:val="1"/>
    </w:pPr>
    <w:rPr>
      <w:b/>
      <w:sz w:val="26"/>
    </w:rPr>
  </w:style>
</w:styles>
</file>

<file path=word/_rels/document.xml.rels><?xml version="1.0" encoding="UTF-8" standalone="yes"?>
        <Relationships xmlns="http://schemas.openxmlformats.org/package/2006/relationships">
          <Relationship Id="rId1" Type="http://schemas.openxmlformats.org/officeDocument/2006/relationships/styles" Target="styles.xml"/>
          <Relationship Id="rId2" Type="http://schemas.openxmlformats.org/officeDocument/2006/relationships/settings" Target="settings.xml"/>
        </Relationships>
        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>
  <dc:title>Incrustations — E8</dc:title>
  <dc:creator>Dérushage chorale</dc:creator>
</cp:coreProperties>
</file>