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DCD77" w14:textId="77777777" w:rsidR="00072077" w:rsidRPr="0081372B" w:rsidRDefault="00072077">
      <w:r w:rsidRPr="0081372B">
        <w:rPr>
          <w:b/>
        </w:rPr>
        <w:t>Instructor</w:t>
      </w:r>
      <w:r w:rsidRPr="0081372B">
        <w:t xml:space="preserve">: </w:t>
      </w:r>
      <w:r w:rsidRPr="0081372B">
        <w:tab/>
        <w:t>Tyson Barrett</w:t>
      </w:r>
    </w:p>
    <w:p w14:paraId="7D00114A" w14:textId="77777777" w:rsidR="00072077" w:rsidRPr="0081372B" w:rsidRDefault="00072077">
      <w:r w:rsidRPr="0081372B">
        <w:tab/>
      </w:r>
      <w:r w:rsidRPr="0081372B">
        <w:tab/>
      </w:r>
      <w:hyperlink r:id="rId7" w:history="1">
        <w:r w:rsidRPr="0081372B">
          <w:rPr>
            <w:rStyle w:val="Hyperlink"/>
          </w:rPr>
          <w:t>t.barrett@aggiemail.usu.edu</w:t>
        </w:r>
      </w:hyperlink>
    </w:p>
    <w:p w14:paraId="06A43388" w14:textId="77777777" w:rsidR="00072077" w:rsidRPr="0081372B" w:rsidRDefault="00072077">
      <w:r w:rsidRPr="0081372B">
        <w:tab/>
      </w:r>
      <w:r w:rsidRPr="0081372B">
        <w:tab/>
        <w:t>435-512-3384</w:t>
      </w:r>
    </w:p>
    <w:p w14:paraId="0F537285" w14:textId="77777777" w:rsidR="00072077" w:rsidRPr="0081372B" w:rsidRDefault="00072077"/>
    <w:p w14:paraId="0F5D11CA" w14:textId="5CE7057A" w:rsidR="00072077" w:rsidRPr="0081372B" w:rsidRDefault="00072077">
      <w:r w:rsidRPr="0081372B">
        <w:rPr>
          <w:b/>
        </w:rPr>
        <w:t>Class</w:t>
      </w:r>
      <w:r w:rsidR="00F87D46">
        <w:t>: Tuesday 10:00 – 11:00</w:t>
      </w:r>
      <w:r w:rsidR="0001762D" w:rsidRPr="0081372B">
        <w:t xml:space="preserve"> am</w:t>
      </w:r>
    </w:p>
    <w:p w14:paraId="00803213" w14:textId="77777777" w:rsidR="00072077" w:rsidRPr="0081372B" w:rsidRDefault="00072077">
      <w:r w:rsidRPr="0081372B">
        <w:rPr>
          <w:b/>
        </w:rPr>
        <w:t>Office Hours</w:t>
      </w:r>
      <w:r w:rsidRPr="0081372B">
        <w:t>: By appointment</w:t>
      </w:r>
    </w:p>
    <w:p w14:paraId="4087849B" w14:textId="77777777" w:rsidR="00B15E1B" w:rsidRPr="0081372B" w:rsidRDefault="00B15E1B"/>
    <w:p w14:paraId="29F7114A" w14:textId="1D2E8E6A" w:rsidR="00B15E1B" w:rsidRPr="0081372B" w:rsidRDefault="00F93DE8">
      <w:r w:rsidRPr="0081372B">
        <w:rPr>
          <w:b/>
        </w:rPr>
        <w:t xml:space="preserve">Optional </w:t>
      </w:r>
      <w:r w:rsidR="00B15E1B" w:rsidRPr="0081372B">
        <w:rPr>
          <w:b/>
        </w:rPr>
        <w:t>Resources</w:t>
      </w:r>
      <w:r w:rsidR="00B15E1B" w:rsidRPr="0081372B">
        <w:t xml:space="preserve">: </w:t>
      </w:r>
    </w:p>
    <w:p w14:paraId="4EFE86ED" w14:textId="576B2E53" w:rsidR="00647925" w:rsidRPr="00647925" w:rsidRDefault="00EA1541" w:rsidP="008B0492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EA1541">
        <w:rPr>
          <w:rFonts w:eastAsia="Times New Roman" w:cs="Times New Roman"/>
          <w:b/>
        </w:rPr>
        <w:t>R for Health, Behavioral, and Social Scientists</w:t>
      </w:r>
      <w:r>
        <w:rPr>
          <w:rFonts w:eastAsia="Times New Roman" w:cs="Times New Roman"/>
        </w:rPr>
        <w:t xml:space="preserve">, Tyson Barrett, available for free at: </w:t>
      </w:r>
      <w:hyperlink r:id="rId8" w:history="1">
        <w:r w:rsidRPr="0036571B">
          <w:rPr>
            <w:rStyle w:val="Hyperlink"/>
            <w:rFonts w:eastAsia="Times New Roman" w:cs="Times New Roman"/>
          </w:rPr>
          <w:t>https://tysonstanley.github.io/Rstats</w:t>
        </w:r>
      </w:hyperlink>
      <w:r>
        <w:rPr>
          <w:rFonts w:eastAsia="Times New Roman" w:cs="Times New Roman"/>
        </w:rPr>
        <w:t xml:space="preserve"> </w:t>
      </w:r>
      <w:r w:rsidR="007E5854">
        <w:rPr>
          <w:rFonts w:eastAsia="Times New Roman" w:cs="Times New Roman"/>
        </w:rPr>
        <w:t>(currently not the final draft)</w:t>
      </w:r>
    </w:p>
    <w:p w14:paraId="705F7DB5" w14:textId="0E973EB9" w:rsidR="008F2974" w:rsidRPr="00756C89" w:rsidRDefault="00EA0C8E" w:rsidP="00207CC0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Reasoning with Data</w:t>
      </w:r>
      <w:r w:rsidR="00756C89">
        <w:rPr>
          <w:rFonts w:eastAsia="Times New Roman" w:cs="Times New Roman"/>
          <w:b/>
          <w:bCs/>
        </w:rPr>
        <w:t xml:space="preserve">, </w:t>
      </w:r>
      <w:r w:rsidR="00756C89" w:rsidRPr="00756C89">
        <w:rPr>
          <w:rFonts w:eastAsia="Times New Roman" w:cs="Times New Roman"/>
          <w:bCs/>
        </w:rPr>
        <w:t>Jeffrey Stanton, Guilford Publishing</w:t>
      </w:r>
    </w:p>
    <w:p w14:paraId="4DB9BDA3" w14:textId="4A800032" w:rsidR="00207CC0" w:rsidRPr="0081372B" w:rsidRDefault="00207CC0" w:rsidP="00207CC0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81372B">
        <w:rPr>
          <w:rFonts w:eastAsia="Times New Roman" w:cs="Times New Roman"/>
          <w:b/>
          <w:bCs/>
        </w:rPr>
        <w:t>Websites</w:t>
      </w:r>
      <w:r w:rsidRPr="0081372B">
        <w:rPr>
          <w:rFonts w:eastAsia="Times New Roman" w:cs="Times New Roman"/>
          <w:bCs/>
        </w:rPr>
        <w:t>:</w:t>
      </w:r>
    </w:p>
    <w:p w14:paraId="2B944EA3" w14:textId="1ECBE9C7" w:rsidR="00207CC0" w:rsidRPr="0081372B" w:rsidRDefault="00BF4A17" w:rsidP="00207CC0">
      <w:pPr>
        <w:pStyle w:val="ListParagraph"/>
        <w:numPr>
          <w:ilvl w:val="1"/>
          <w:numId w:val="4"/>
        </w:numPr>
        <w:rPr>
          <w:rFonts w:eastAsia="Times New Roman" w:cs="Times New Roman"/>
        </w:rPr>
      </w:pPr>
      <w:hyperlink r:id="rId9" w:history="1">
        <w:r w:rsidR="00207CC0" w:rsidRPr="0081372B">
          <w:rPr>
            <w:rStyle w:val="Hyperlink"/>
            <w:rFonts w:eastAsia="Times New Roman" w:cs="Times New Roman"/>
            <w:bCs/>
          </w:rPr>
          <w:t>www.r-bloggers.com</w:t>
        </w:r>
      </w:hyperlink>
    </w:p>
    <w:p w14:paraId="7399A033" w14:textId="73D7E609" w:rsidR="00207CC0" w:rsidRPr="0081372B" w:rsidRDefault="00BF4A17" w:rsidP="00207CC0">
      <w:pPr>
        <w:pStyle w:val="ListParagraph"/>
        <w:numPr>
          <w:ilvl w:val="1"/>
          <w:numId w:val="4"/>
        </w:numPr>
        <w:rPr>
          <w:rFonts w:eastAsia="Times New Roman" w:cs="Times New Roman"/>
        </w:rPr>
      </w:pPr>
      <w:hyperlink r:id="rId10" w:history="1">
        <w:r w:rsidR="00207CC0" w:rsidRPr="0081372B">
          <w:rPr>
            <w:rStyle w:val="Hyperlink"/>
            <w:rFonts w:eastAsia="Times New Roman" w:cs="Times New Roman"/>
            <w:bCs/>
          </w:rPr>
          <w:t>www.statmethods.net</w:t>
        </w:r>
      </w:hyperlink>
    </w:p>
    <w:p w14:paraId="58F83F0F" w14:textId="39428BED" w:rsidR="00207CC0" w:rsidRPr="0081372B" w:rsidRDefault="00BF4A17" w:rsidP="00207CC0">
      <w:pPr>
        <w:pStyle w:val="ListParagraph"/>
        <w:numPr>
          <w:ilvl w:val="1"/>
          <w:numId w:val="4"/>
        </w:numPr>
        <w:rPr>
          <w:rFonts w:eastAsia="Times New Roman" w:cs="Times New Roman"/>
        </w:rPr>
      </w:pPr>
      <w:hyperlink r:id="rId11" w:history="1">
        <w:r w:rsidR="00207CC0" w:rsidRPr="0081372B">
          <w:rPr>
            <w:rStyle w:val="Hyperlink"/>
            <w:rFonts w:eastAsia="Times New Roman" w:cs="Times New Roman"/>
            <w:bCs/>
          </w:rPr>
          <w:t>www.stackoverflow.com</w:t>
        </w:r>
      </w:hyperlink>
    </w:p>
    <w:p w14:paraId="510DC583" w14:textId="77777777" w:rsidR="00072077" w:rsidRPr="0081372B" w:rsidRDefault="00072077"/>
    <w:p w14:paraId="60D5CE30" w14:textId="3B1CA4B8" w:rsidR="00EE5582" w:rsidRDefault="00072077" w:rsidP="00AD167F">
      <w:r w:rsidRPr="0081372B">
        <w:rPr>
          <w:b/>
        </w:rPr>
        <w:t>Class Objective</w:t>
      </w:r>
      <w:r w:rsidRPr="0081372B">
        <w:t>: This seminar</w:t>
      </w:r>
      <w:r w:rsidR="00EA1541">
        <w:t>/workshop</w:t>
      </w:r>
      <w:r w:rsidRPr="0081372B">
        <w:t xml:space="preserve"> will address the major uses of R for </w:t>
      </w:r>
      <w:r w:rsidR="00AD167F">
        <w:t>Health, Behavioral, Educational, and Social Scientists</w:t>
      </w:r>
      <w:r w:rsidR="000D19AA">
        <w:t xml:space="preserve"> at an early </w:t>
      </w:r>
      <w:r w:rsidR="00AD629A">
        <w:t>intermediate level</w:t>
      </w:r>
      <w:r w:rsidRPr="0081372B">
        <w:t xml:space="preserve">. This includes: managing data, reshaping data, exploratory and advanced plotting, </w:t>
      </w:r>
      <w:r w:rsidR="00AD629A">
        <w:t xml:space="preserve">designing your own </w:t>
      </w:r>
      <w:r w:rsidRPr="0081372B">
        <w:t xml:space="preserve">functions, modeling, and </w:t>
      </w:r>
      <w:r w:rsidR="00AD629A">
        <w:t>loops</w:t>
      </w:r>
      <w:r w:rsidRPr="0081372B">
        <w:t>.</w:t>
      </w:r>
      <w:r w:rsidR="003F28B5">
        <w:t xml:space="preserve"> All of these facets will be </w:t>
      </w:r>
      <w:r w:rsidR="00EE5582">
        <w:t xml:space="preserve">considered within </w:t>
      </w:r>
      <w:proofErr w:type="spellStart"/>
      <w:r w:rsidR="00EE5582">
        <w:t>RMarkdown</w:t>
      </w:r>
      <w:proofErr w:type="spellEnd"/>
      <w:r w:rsidR="00EE5582">
        <w:t>.</w:t>
      </w:r>
      <w:r w:rsidRPr="0081372B">
        <w:t xml:space="preserve"> </w:t>
      </w:r>
      <w:r w:rsidR="00EE5582">
        <w:t xml:space="preserve">After taking this course, students will be able to produce beautiful documents easily, without the need for manual creation of tables and figures. Although </w:t>
      </w:r>
      <w:r w:rsidR="000D19AA">
        <w:t>the course is still at an early intermediate level, students will be able to work through errors and warnings effectively, thus becoming independent R users.</w:t>
      </w:r>
    </w:p>
    <w:p w14:paraId="029C3CEE" w14:textId="77777777" w:rsidR="00EE5582" w:rsidRDefault="00EE5582" w:rsidP="00AD167F"/>
    <w:p w14:paraId="63330A9C" w14:textId="0554004D" w:rsidR="00EE5582" w:rsidRPr="0081372B" w:rsidRDefault="00F32EB5" w:rsidP="00AD167F">
      <w:r>
        <w:t>It is assumed that class members have a statistics background up to PSY 6600 or equivalent</w:t>
      </w:r>
      <w:r w:rsidR="00AD629A">
        <w:t xml:space="preserve"> and are familiar with the R programming language</w:t>
      </w:r>
      <w:r>
        <w:t xml:space="preserve">. </w:t>
      </w:r>
      <w:r w:rsidR="00EA1541">
        <w:t xml:space="preserve">The class will follow the format of the </w:t>
      </w:r>
      <w:r w:rsidR="00EA1541" w:rsidRPr="00EA1541">
        <w:rPr>
          <w:i/>
        </w:rPr>
        <w:t>R for Health, Behavioral, and Social Scientists</w:t>
      </w:r>
      <w:r w:rsidR="00EA1541">
        <w:t xml:space="preserve"> book.</w:t>
      </w:r>
    </w:p>
    <w:p w14:paraId="142CF56A" w14:textId="77777777" w:rsidR="003B485C" w:rsidRPr="0081372B" w:rsidRDefault="003B485C"/>
    <w:p w14:paraId="1BCFA8AB" w14:textId="76825A05" w:rsidR="003B485C" w:rsidRPr="0081372B" w:rsidRDefault="003B485C">
      <w:r w:rsidRPr="0081372B">
        <w:rPr>
          <w:b/>
        </w:rPr>
        <w:t>Structure</w:t>
      </w:r>
      <w:r w:rsidRPr="0081372B">
        <w:t xml:space="preserve">: </w:t>
      </w:r>
      <w:r w:rsidR="008F0582">
        <w:t xml:space="preserve">We will meet once a week for a </w:t>
      </w:r>
      <w:r w:rsidRPr="0081372B">
        <w:t>hands-on</w:t>
      </w:r>
      <w:r w:rsidR="008F0582">
        <w:t>, workshop style course</w:t>
      </w:r>
      <w:r w:rsidRPr="0081372B">
        <w:t xml:space="preserve">, with most of class going through the R </w:t>
      </w:r>
      <w:r w:rsidR="00876618" w:rsidRPr="0081372B">
        <w:t xml:space="preserve">code together. </w:t>
      </w:r>
      <w:r w:rsidR="00C629FE" w:rsidRPr="0081372B">
        <w:t xml:space="preserve">The class will be divided into </w:t>
      </w:r>
      <w:r w:rsidR="007A7AC9">
        <w:t>four</w:t>
      </w:r>
      <w:r w:rsidR="00C629FE" w:rsidRPr="0081372B">
        <w:t xml:space="preserve"> main </w:t>
      </w:r>
      <w:r w:rsidR="00BA061C">
        <w:t>sections</w:t>
      </w:r>
      <w:r w:rsidR="00C629FE" w:rsidRPr="0081372B">
        <w:t>:</w:t>
      </w:r>
    </w:p>
    <w:p w14:paraId="1E091AB6" w14:textId="6BB3358B" w:rsidR="00C629FE" w:rsidRDefault="003E58F4" w:rsidP="00141F7D">
      <w:pPr>
        <w:pStyle w:val="ListParagraph"/>
        <w:numPr>
          <w:ilvl w:val="0"/>
          <w:numId w:val="1"/>
        </w:numPr>
      </w:pPr>
      <w:r>
        <w:t xml:space="preserve">Review of </w:t>
      </w:r>
      <w:r w:rsidR="00A66988">
        <w:t xml:space="preserve">R, </w:t>
      </w:r>
      <w:r>
        <w:t>Data Manipulation</w:t>
      </w:r>
      <w:r w:rsidR="00A66988">
        <w:t xml:space="preserve">, </w:t>
      </w:r>
      <w:r>
        <w:t>ggplot2</w:t>
      </w:r>
      <w:r w:rsidR="00A66988">
        <w:t>,</w:t>
      </w:r>
      <w:r>
        <w:t xml:space="preserve"> and tables</w:t>
      </w:r>
    </w:p>
    <w:p w14:paraId="0EF50336" w14:textId="77777777" w:rsidR="00AE0A4C" w:rsidRDefault="003E58F4" w:rsidP="00C67947">
      <w:pPr>
        <w:pStyle w:val="ListParagraph"/>
        <w:numPr>
          <w:ilvl w:val="0"/>
          <w:numId w:val="1"/>
        </w:numPr>
      </w:pPr>
      <w:r>
        <w:t>Loops, Functions, and Packages</w:t>
      </w:r>
    </w:p>
    <w:p w14:paraId="3E4017CE" w14:textId="6888DE1F" w:rsidR="003E58F4" w:rsidRDefault="003E58F4" w:rsidP="00C67947">
      <w:pPr>
        <w:pStyle w:val="ListParagraph"/>
        <w:numPr>
          <w:ilvl w:val="0"/>
          <w:numId w:val="1"/>
        </w:numPr>
      </w:pPr>
      <w:proofErr w:type="spellStart"/>
      <w:r>
        <w:t>RMarkdown</w:t>
      </w:r>
      <w:proofErr w:type="spellEnd"/>
      <w:r>
        <w:t xml:space="preserve"> for </w:t>
      </w:r>
      <w:r w:rsidR="007A7AC9">
        <w:t xml:space="preserve">Data Analysis, General Workflow, and </w:t>
      </w:r>
      <w:r>
        <w:t>Publication</w:t>
      </w:r>
    </w:p>
    <w:p w14:paraId="3F4776AF" w14:textId="33A0E5F3" w:rsidR="007A7AC9" w:rsidRPr="0081372B" w:rsidRDefault="007A7AC9" w:rsidP="00A66988">
      <w:pPr>
        <w:pStyle w:val="ListParagraph"/>
        <w:numPr>
          <w:ilvl w:val="0"/>
          <w:numId w:val="1"/>
        </w:numPr>
      </w:pPr>
      <w:r>
        <w:t>Review of Class Material and Additional Topics</w:t>
      </w:r>
    </w:p>
    <w:p w14:paraId="4094A66A" w14:textId="65463EF1" w:rsidR="003E58F4" w:rsidRDefault="008F0582">
      <w:r>
        <w:t xml:space="preserve">These sections will build on each other. If you feel behind, please come talk to me early and ask questions often. </w:t>
      </w:r>
    </w:p>
    <w:p w14:paraId="01C45D91" w14:textId="77777777" w:rsidR="008F0582" w:rsidRPr="0081372B" w:rsidRDefault="008F0582"/>
    <w:p w14:paraId="2937C2EE" w14:textId="5FB9985A" w:rsidR="00072077" w:rsidRPr="0081372B" w:rsidRDefault="00072077">
      <w:r w:rsidRPr="0081372B">
        <w:rPr>
          <w:b/>
        </w:rPr>
        <w:t>Grading</w:t>
      </w:r>
      <w:r w:rsidRPr="0081372B">
        <w:t xml:space="preserve">: This is a pass/fail course. </w:t>
      </w:r>
      <w:r w:rsidR="007F3CDA">
        <w:t xml:space="preserve">A student will pass if </w:t>
      </w:r>
      <w:r w:rsidR="00EE5582">
        <w:t>3 of the 4</w:t>
      </w:r>
      <w:r w:rsidR="007F3CDA">
        <w:t xml:space="preserve"> homework</w:t>
      </w:r>
      <w:r w:rsidR="003E58F4">
        <w:t xml:space="preserve"> assignments are </w:t>
      </w:r>
      <w:r w:rsidR="007F3CDA">
        <w:t>turned in</w:t>
      </w:r>
      <w:r w:rsidR="00EE5582">
        <w:t xml:space="preserve"> and attendance is high (75% of class periods attended)</w:t>
      </w:r>
      <w:r w:rsidR="007F3CDA">
        <w:t>.</w:t>
      </w:r>
      <w:r w:rsidR="00EA1541">
        <w:t xml:space="preserve"> If passed, it will appear on your transcript as a completed workshop.</w:t>
      </w:r>
    </w:p>
    <w:p w14:paraId="5B3DFE60" w14:textId="77777777" w:rsidR="00072077" w:rsidRPr="0081372B" w:rsidRDefault="00072077"/>
    <w:p w14:paraId="74548183" w14:textId="4EBBC5B0" w:rsidR="00072077" w:rsidRDefault="00072077">
      <w:r w:rsidRPr="0081372B">
        <w:rPr>
          <w:b/>
        </w:rPr>
        <w:lastRenderedPageBreak/>
        <w:t>Assignments</w:t>
      </w:r>
      <w:r w:rsidRPr="0081372B">
        <w:t xml:space="preserve">: There </w:t>
      </w:r>
      <w:r w:rsidR="00D56131">
        <w:t>two types of homework assignments—</w:t>
      </w:r>
      <w:r w:rsidR="005D78E8">
        <w:t>Short feedback</w:t>
      </w:r>
      <w:r w:rsidR="00D56131">
        <w:t xml:space="preserve"> an</w:t>
      </w:r>
      <w:r w:rsidR="00305827">
        <w:t xml:space="preserve">d </w:t>
      </w:r>
      <w:proofErr w:type="spellStart"/>
      <w:r w:rsidR="00305827">
        <w:t>RMarkdown</w:t>
      </w:r>
      <w:proofErr w:type="spellEnd"/>
      <w:r w:rsidR="00305827">
        <w:t xml:space="preserve"> files. </w:t>
      </w:r>
      <w:r w:rsidR="005D78E8">
        <w:t xml:space="preserve">The short feedback assignments generally show that you did something that we did together in class (like a screen shot). The </w:t>
      </w:r>
      <w:proofErr w:type="spellStart"/>
      <w:r w:rsidR="005D78E8">
        <w:t>RMarkdown</w:t>
      </w:r>
      <w:proofErr w:type="spellEnd"/>
      <w:r w:rsidR="005D78E8">
        <w:t xml:space="preserve"> assignments are applied work where you show your replicable workflow in </w:t>
      </w:r>
      <w:proofErr w:type="spellStart"/>
      <w:r w:rsidR="005D78E8">
        <w:t>RMarkdown</w:t>
      </w:r>
      <w:proofErr w:type="spellEnd"/>
      <w:r w:rsidR="005D78E8">
        <w:t xml:space="preserve">. </w:t>
      </w:r>
      <w:r w:rsidR="00C72606">
        <w:t xml:space="preserve">We </w:t>
      </w:r>
      <w:r w:rsidR="005D78E8">
        <w:t>will discuss this more in class</w:t>
      </w:r>
      <w:r w:rsidR="00D56131">
        <w:t xml:space="preserve">. There will be flexibility about the nature of the </w:t>
      </w:r>
      <w:proofErr w:type="spellStart"/>
      <w:r w:rsidR="00D56131">
        <w:t>RMarkdown</w:t>
      </w:r>
      <w:proofErr w:type="spellEnd"/>
      <w:r w:rsidR="00D56131">
        <w:t xml:space="preserve"> assignments (e.g., students can use their own data).</w:t>
      </w:r>
      <w:r w:rsidR="005D78E8">
        <w:t xml:space="preserve"> Again, as it was in the previous class, assignments will not take much time, especially if you follow along in class.</w:t>
      </w:r>
    </w:p>
    <w:p w14:paraId="05C65701" w14:textId="77777777" w:rsidR="002707E5" w:rsidRPr="0081372B" w:rsidRDefault="002707E5"/>
    <w:p w14:paraId="4F58E67C" w14:textId="2A34AEDE" w:rsidR="00393FFB" w:rsidRDefault="00393FFB" w:rsidP="00393FFB">
      <w:r w:rsidRPr="0081372B">
        <w:rPr>
          <w:b/>
        </w:rPr>
        <w:t>Students with Disabilities</w:t>
      </w:r>
      <w:r w:rsidRPr="0081372B">
        <w:t xml:space="preserve">: Reasonable accommodation will be provided for all persons with disabilities in order to ensure equal participation within the program. If a student has a disability that will likely require some accommodation by the instructor, the student must contact the instructor and document the disability through the Disability Resource Center (797-2444), preferably during the first week of the course. Any request for special consideration relating to attendance, pedagogy, taking of examinations, etc., must be discussed with and approved by the instructor. </w:t>
      </w:r>
    </w:p>
    <w:p w14:paraId="56BB2033" w14:textId="77777777" w:rsidR="002B5327" w:rsidRDefault="002B5327" w:rsidP="00393FFB"/>
    <w:p w14:paraId="63CF209D" w14:textId="1C2309F1" w:rsidR="002B5327" w:rsidRDefault="002B5327" w:rsidP="00393FFB">
      <w:r w:rsidRPr="002B5327">
        <w:rPr>
          <w:b/>
        </w:rPr>
        <w:t>Important Dates</w:t>
      </w:r>
      <w:r>
        <w:t xml:space="preserve">: </w:t>
      </w:r>
    </w:p>
    <w:p w14:paraId="07413367" w14:textId="55FB5CA8" w:rsidR="002B5327" w:rsidRPr="005B16B1" w:rsidRDefault="002707E5" w:rsidP="002B5327">
      <w:pPr>
        <w:pStyle w:val="ListParagraph"/>
        <w:numPr>
          <w:ilvl w:val="0"/>
          <w:numId w:val="5"/>
        </w:numPr>
      </w:pPr>
      <w:r>
        <w:t>Aug 29 – First Day of Class</w:t>
      </w:r>
    </w:p>
    <w:p w14:paraId="63FC9DC2" w14:textId="414E8D83" w:rsidR="002B5327" w:rsidRPr="005B16B1" w:rsidRDefault="002707E5" w:rsidP="002B5327">
      <w:pPr>
        <w:pStyle w:val="ListParagraph"/>
        <w:numPr>
          <w:ilvl w:val="0"/>
          <w:numId w:val="5"/>
        </w:numPr>
      </w:pPr>
      <w:r>
        <w:t>Nov 21</w:t>
      </w:r>
      <w:r w:rsidR="002B5327" w:rsidRPr="005B16B1">
        <w:t xml:space="preserve"> – No Class</w:t>
      </w:r>
    </w:p>
    <w:p w14:paraId="788B6C53" w14:textId="7466D24F" w:rsidR="002B5327" w:rsidRPr="005B16B1" w:rsidRDefault="002707E5" w:rsidP="002B5327">
      <w:pPr>
        <w:pStyle w:val="ListParagraph"/>
        <w:numPr>
          <w:ilvl w:val="0"/>
          <w:numId w:val="5"/>
        </w:numPr>
      </w:pPr>
      <w:r>
        <w:t>Dec</w:t>
      </w:r>
      <w:r w:rsidR="005B16B1" w:rsidRPr="005B16B1">
        <w:t xml:space="preserve"> </w:t>
      </w:r>
      <w:r>
        <w:t>5</w:t>
      </w:r>
      <w:r w:rsidR="002B5327" w:rsidRPr="005B16B1">
        <w:t xml:space="preserve"> – </w:t>
      </w:r>
      <w:r>
        <w:t>Last Day of Class</w:t>
      </w:r>
    </w:p>
    <w:p w14:paraId="5356228D" w14:textId="77777777" w:rsidR="00E8121F" w:rsidRPr="0081372B" w:rsidRDefault="00E8121F" w:rsidP="00E8121F"/>
    <w:p w14:paraId="696EE9ED" w14:textId="09CBF970" w:rsidR="00E8121F" w:rsidRDefault="00E8121F" w:rsidP="00E8121F">
      <w:r w:rsidRPr="0081372B">
        <w:rPr>
          <w:b/>
        </w:rPr>
        <w:t>Tentative Schedule</w:t>
      </w:r>
      <w:r w:rsidRPr="0081372B">
        <w:t>:</w:t>
      </w:r>
    </w:p>
    <w:p w14:paraId="712D0278" w14:textId="77777777" w:rsidR="002B5327" w:rsidRPr="002B5327" w:rsidRDefault="002B5327" w:rsidP="00E8121F">
      <w:pPr>
        <w:rPr>
          <w:sz w:val="8"/>
        </w:rPr>
      </w:pPr>
    </w:p>
    <w:tbl>
      <w:tblPr>
        <w:tblStyle w:val="TableGrid"/>
        <w:tblW w:w="10602" w:type="dxa"/>
        <w:tblInd w:w="-54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322"/>
        <w:gridCol w:w="3330"/>
        <w:gridCol w:w="3240"/>
        <w:gridCol w:w="1710"/>
      </w:tblGrid>
      <w:tr w:rsidR="00305827" w:rsidRPr="0081372B" w14:paraId="52CC0369" w14:textId="77777777" w:rsidTr="00847BA9">
        <w:tc>
          <w:tcPr>
            <w:tcW w:w="2322" w:type="dxa"/>
            <w:shd w:val="clear" w:color="auto" w:fill="1F4E79" w:themeFill="accent1" w:themeFillShade="80"/>
            <w:vAlign w:val="center"/>
          </w:tcPr>
          <w:p w14:paraId="41F26841" w14:textId="77777777" w:rsidR="00CF7D2A" w:rsidRPr="00B101A8" w:rsidRDefault="00CF7D2A" w:rsidP="006E26A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330" w:type="dxa"/>
            <w:shd w:val="clear" w:color="auto" w:fill="1F4E79" w:themeFill="accent1" w:themeFillShade="80"/>
          </w:tcPr>
          <w:p w14:paraId="0B96635A" w14:textId="77777777" w:rsidR="00CF7D2A" w:rsidRPr="00B101A8" w:rsidRDefault="00CF7D2A" w:rsidP="006E26AE">
            <w:pPr>
              <w:rPr>
                <w:b/>
                <w:color w:val="FFFFFF" w:themeColor="background1"/>
              </w:rPr>
            </w:pPr>
            <w:r w:rsidRPr="00B101A8">
              <w:rPr>
                <w:b/>
                <w:color w:val="FFFFFF" w:themeColor="background1"/>
              </w:rPr>
              <w:t>Discussion Topics</w:t>
            </w:r>
          </w:p>
        </w:tc>
        <w:tc>
          <w:tcPr>
            <w:tcW w:w="3240" w:type="dxa"/>
            <w:shd w:val="clear" w:color="auto" w:fill="1F4E79" w:themeFill="accent1" w:themeFillShade="80"/>
          </w:tcPr>
          <w:p w14:paraId="236E3017" w14:textId="77777777" w:rsidR="00CF7D2A" w:rsidRPr="00B101A8" w:rsidRDefault="00CF7D2A" w:rsidP="006E26AE">
            <w:pPr>
              <w:jc w:val="center"/>
              <w:rPr>
                <w:b/>
                <w:color w:val="FFFFFF" w:themeColor="background1"/>
              </w:rPr>
            </w:pPr>
            <w:r w:rsidRPr="00B101A8">
              <w:rPr>
                <w:b/>
                <w:color w:val="FFFFFF" w:themeColor="background1"/>
              </w:rPr>
              <w:t>Relevant R Packages</w:t>
            </w:r>
          </w:p>
        </w:tc>
        <w:tc>
          <w:tcPr>
            <w:tcW w:w="1710" w:type="dxa"/>
            <w:shd w:val="clear" w:color="auto" w:fill="1F4E79" w:themeFill="accent1" w:themeFillShade="80"/>
          </w:tcPr>
          <w:p w14:paraId="5537A544" w14:textId="346B25CA" w:rsidR="00CF7D2A" w:rsidRPr="00B101A8" w:rsidRDefault="00CF7D2A" w:rsidP="006E26AE">
            <w:pPr>
              <w:jc w:val="center"/>
              <w:rPr>
                <w:b/>
                <w:color w:val="FFFFFF" w:themeColor="background1"/>
              </w:rPr>
            </w:pPr>
            <w:r w:rsidRPr="00B101A8">
              <w:rPr>
                <w:b/>
                <w:color w:val="FFFFFF" w:themeColor="background1"/>
              </w:rPr>
              <w:t>Homework</w:t>
            </w:r>
          </w:p>
        </w:tc>
      </w:tr>
      <w:tr w:rsidR="00305827" w:rsidRPr="0081372B" w14:paraId="22E62DA6" w14:textId="77777777" w:rsidTr="00847BA9">
        <w:tc>
          <w:tcPr>
            <w:tcW w:w="2322" w:type="dxa"/>
            <w:vMerge w:val="restart"/>
            <w:vAlign w:val="center"/>
          </w:tcPr>
          <w:p w14:paraId="77ABA796" w14:textId="72910883" w:rsidR="00C332E9" w:rsidRPr="0081372B" w:rsidRDefault="00C332E9" w:rsidP="006E26AE">
            <w:pPr>
              <w:jc w:val="center"/>
            </w:pPr>
            <w:r>
              <w:t>Review of R</w:t>
            </w:r>
          </w:p>
        </w:tc>
        <w:tc>
          <w:tcPr>
            <w:tcW w:w="3330" w:type="dxa"/>
            <w:vAlign w:val="center"/>
          </w:tcPr>
          <w:p w14:paraId="0F491A89" w14:textId="4A8B1B53" w:rsidR="00C332E9" w:rsidRPr="0081372B" w:rsidRDefault="00C332E9" w:rsidP="008B0492">
            <w:r>
              <w:t xml:space="preserve">Base R Syntax and </w:t>
            </w:r>
            <w:proofErr w:type="spellStart"/>
            <w:r>
              <w:t>Tidyverse</w:t>
            </w:r>
            <w:proofErr w:type="spellEnd"/>
          </w:p>
        </w:tc>
        <w:tc>
          <w:tcPr>
            <w:tcW w:w="3240" w:type="dxa"/>
            <w:vAlign w:val="center"/>
          </w:tcPr>
          <w:p w14:paraId="028BA2C2" w14:textId="5CF54345" w:rsidR="00C332E9" w:rsidRPr="0081372B" w:rsidRDefault="00C332E9" w:rsidP="008B0492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spellStart"/>
            <w:r>
              <w:rPr>
                <w:sz w:val="22"/>
              </w:rPr>
              <w:t>tidyverse</w:t>
            </w:r>
            <w:proofErr w:type="spellEnd"/>
            <w:r>
              <w:rPr>
                <w:sz w:val="22"/>
              </w:rPr>
              <w:t>”</w:t>
            </w:r>
          </w:p>
        </w:tc>
        <w:tc>
          <w:tcPr>
            <w:tcW w:w="1710" w:type="dxa"/>
            <w:vMerge w:val="restart"/>
            <w:vAlign w:val="center"/>
          </w:tcPr>
          <w:p w14:paraId="22427838" w14:textId="77777777" w:rsidR="00C332E9" w:rsidRDefault="002D2E89" w:rsidP="00305827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RMarkdown</w:t>
            </w:r>
            <w:proofErr w:type="spellEnd"/>
            <w:r>
              <w:rPr>
                <w:sz w:val="22"/>
              </w:rPr>
              <w:t xml:space="preserve"> # 1</w:t>
            </w:r>
          </w:p>
          <w:p w14:paraId="41EFADAA" w14:textId="6B0ACD57" w:rsidR="00D876A6" w:rsidRPr="0081372B" w:rsidRDefault="00D876A6" w:rsidP="003058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Discuss tidy data</w:t>
            </w:r>
            <w:bookmarkStart w:id="0" w:name="_GoBack"/>
            <w:bookmarkEnd w:id="0"/>
          </w:p>
        </w:tc>
      </w:tr>
      <w:tr w:rsidR="00305827" w:rsidRPr="0081372B" w14:paraId="2A8C5FA3" w14:textId="77777777" w:rsidTr="00847BA9">
        <w:tc>
          <w:tcPr>
            <w:tcW w:w="2322" w:type="dxa"/>
            <w:vMerge/>
            <w:vAlign w:val="center"/>
          </w:tcPr>
          <w:p w14:paraId="0B98D222" w14:textId="77777777" w:rsidR="00C332E9" w:rsidRDefault="00C332E9" w:rsidP="006E26AE">
            <w:pPr>
              <w:jc w:val="center"/>
            </w:pPr>
          </w:p>
        </w:tc>
        <w:tc>
          <w:tcPr>
            <w:tcW w:w="3330" w:type="dxa"/>
            <w:vAlign w:val="center"/>
          </w:tcPr>
          <w:p w14:paraId="00C225DE" w14:textId="4B00DF75" w:rsidR="00C332E9" w:rsidRDefault="00C332E9" w:rsidP="008B0492">
            <w:r>
              <w:t>Reshaping and other Cleaning</w:t>
            </w:r>
          </w:p>
        </w:tc>
        <w:tc>
          <w:tcPr>
            <w:tcW w:w="3240" w:type="dxa"/>
            <w:vAlign w:val="center"/>
          </w:tcPr>
          <w:p w14:paraId="33335C03" w14:textId="2904B39C" w:rsidR="00C332E9" w:rsidRDefault="00C332E9" w:rsidP="008B0492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“furniture”, “</w:t>
            </w:r>
            <w:proofErr w:type="spellStart"/>
            <w:r>
              <w:rPr>
                <w:sz w:val="22"/>
              </w:rPr>
              <w:t>tidyverse</w:t>
            </w:r>
            <w:proofErr w:type="spellEnd"/>
            <w:r>
              <w:rPr>
                <w:sz w:val="22"/>
              </w:rPr>
              <w:t>”</w:t>
            </w:r>
          </w:p>
        </w:tc>
        <w:tc>
          <w:tcPr>
            <w:tcW w:w="1710" w:type="dxa"/>
            <w:vMerge/>
            <w:vAlign w:val="center"/>
          </w:tcPr>
          <w:p w14:paraId="545DB8EE" w14:textId="77777777" w:rsidR="00C332E9" w:rsidRDefault="00C332E9" w:rsidP="00305827">
            <w:pPr>
              <w:jc w:val="center"/>
              <w:rPr>
                <w:sz w:val="22"/>
              </w:rPr>
            </w:pPr>
          </w:p>
        </w:tc>
      </w:tr>
      <w:tr w:rsidR="00305827" w:rsidRPr="0081372B" w14:paraId="233B3D46" w14:textId="77777777" w:rsidTr="00847BA9">
        <w:trPr>
          <w:trHeight w:val="352"/>
        </w:trPr>
        <w:tc>
          <w:tcPr>
            <w:tcW w:w="2322" w:type="dxa"/>
            <w:vMerge/>
          </w:tcPr>
          <w:p w14:paraId="73721072" w14:textId="77777777" w:rsidR="00C332E9" w:rsidRPr="0081372B" w:rsidRDefault="00C332E9" w:rsidP="006E26AE"/>
        </w:tc>
        <w:tc>
          <w:tcPr>
            <w:tcW w:w="3330" w:type="dxa"/>
            <w:vAlign w:val="center"/>
          </w:tcPr>
          <w:p w14:paraId="79EDC8C4" w14:textId="065C0787" w:rsidR="00C332E9" w:rsidRPr="0081372B" w:rsidRDefault="008B0492" w:rsidP="008B0492">
            <w:r>
              <w:t>g</w:t>
            </w:r>
            <w:r w:rsidR="00C332E9">
              <w:t>gplot2, tables, output</w:t>
            </w:r>
          </w:p>
        </w:tc>
        <w:tc>
          <w:tcPr>
            <w:tcW w:w="3240" w:type="dxa"/>
            <w:vAlign w:val="center"/>
          </w:tcPr>
          <w:p w14:paraId="323C0203" w14:textId="2831A14F" w:rsidR="00C332E9" w:rsidRPr="0081372B" w:rsidRDefault="00C332E9" w:rsidP="008B0492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“furniture”, “</w:t>
            </w:r>
            <w:proofErr w:type="spellStart"/>
            <w:r>
              <w:rPr>
                <w:sz w:val="22"/>
              </w:rPr>
              <w:t>tidyverse</w:t>
            </w:r>
            <w:proofErr w:type="spellEnd"/>
            <w:r>
              <w:rPr>
                <w:sz w:val="22"/>
              </w:rPr>
              <w:t>”</w:t>
            </w:r>
          </w:p>
        </w:tc>
        <w:tc>
          <w:tcPr>
            <w:tcW w:w="1710" w:type="dxa"/>
            <w:vMerge/>
            <w:vAlign w:val="center"/>
          </w:tcPr>
          <w:p w14:paraId="4325FBD7" w14:textId="3B60A82F" w:rsidR="00C332E9" w:rsidRPr="0081372B" w:rsidRDefault="00C332E9" w:rsidP="00305827">
            <w:pPr>
              <w:jc w:val="center"/>
              <w:rPr>
                <w:sz w:val="22"/>
              </w:rPr>
            </w:pPr>
          </w:p>
        </w:tc>
      </w:tr>
      <w:tr w:rsidR="00305827" w:rsidRPr="0081372B" w14:paraId="39D1FEA1" w14:textId="77777777" w:rsidTr="00847BA9">
        <w:tc>
          <w:tcPr>
            <w:tcW w:w="2322" w:type="dxa"/>
            <w:vMerge w:val="restart"/>
            <w:vAlign w:val="center"/>
          </w:tcPr>
          <w:p w14:paraId="32AA7BED" w14:textId="47F72F41" w:rsidR="00305827" w:rsidRPr="0081372B" w:rsidRDefault="00305827" w:rsidP="00305827">
            <w:pPr>
              <w:jc w:val="center"/>
            </w:pPr>
            <w:proofErr w:type="spellStart"/>
            <w:r>
              <w:t>RMarkdown</w:t>
            </w:r>
            <w:proofErr w:type="spellEnd"/>
          </w:p>
        </w:tc>
        <w:tc>
          <w:tcPr>
            <w:tcW w:w="3330" w:type="dxa"/>
            <w:vAlign w:val="center"/>
          </w:tcPr>
          <w:p w14:paraId="5160F03D" w14:textId="150DEBD1" w:rsidR="00305827" w:rsidRPr="0081372B" w:rsidRDefault="00305827" w:rsidP="008B0492">
            <w:proofErr w:type="spellStart"/>
            <w:r>
              <w:t>RMarkdown</w:t>
            </w:r>
            <w:proofErr w:type="spellEnd"/>
            <w:r>
              <w:t xml:space="preserve"> Basics</w:t>
            </w:r>
          </w:p>
        </w:tc>
        <w:tc>
          <w:tcPr>
            <w:tcW w:w="3240" w:type="dxa"/>
            <w:vAlign w:val="center"/>
          </w:tcPr>
          <w:p w14:paraId="0EED3665" w14:textId="521C7FF9" w:rsidR="00305827" w:rsidRPr="0081372B" w:rsidRDefault="00305827" w:rsidP="008B0492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spellStart"/>
            <w:r>
              <w:rPr>
                <w:sz w:val="22"/>
              </w:rPr>
              <w:t>knitr</w:t>
            </w:r>
            <w:proofErr w:type="spellEnd"/>
            <w:r>
              <w:rPr>
                <w:sz w:val="22"/>
              </w:rPr>
              <w:t>”, “</w:t>
            </w:r>
            <w:proofErr w:type="spellStart"/>
            <w:r>
              <w:rPr>
                <w:sz w:val="22"/>
              </w:rPr>
              <w:t>rmarkdown</w:t>
            </w:r>
            <w:proofErr w:type="spellEnd"/>
            <w:r>
              <w:rPr>
                <w:sz w:val="22"/>
              </w:rPr>
              <w:t>”</w:t>
            </w:r>
          </w:p>
        </w:tc>
        <w:tc>
          <w:tcPr>
            <w:tcW w:w="1710" w:type="dxa"/>
            <w:vMerge w:val="restart"/>
            <w:vAlign w:val="center"/>
          </w:tcPr>
          <w:p w14:paraId="54BD9708" w14:textId="77777777" w:rsidR="00305827" w:rsidRDefault="00305827" w:rsidP="00305827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RMarkdown</w:t>
            </w:r>
            <w:proofErr w:type="spellEnd"/>
            <w:r>
              <w:rPr>
                <w:sz w:val="22"/>
              </w:rPr>
              <w:t xml:space="preserve"> # </w:t>
            </w:r>
            <w:r w:rsidR="002D2E89">
              <w:rPr>
                <w:sz w:val="22"/>
              </w:rPr>
              <w:t>2</w:t>
            </w:r>
          </w:p>
          <w:p w14:paraId="08580199" w14:textId="77777777" w:rsidR="005D78E8" w:rsidRDefault="005D78E8" w:rsidP="003058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GitHub</w:t>
            </w:r>
          </w:p>
          <w:p w14:paraId="3D4C7930" w14:textId="1537104A" w:rsidR="005D78E8" w:rsidRPr="0081372B" w:rsidRDefault="005D78E8" w:rsidP="003058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Workflow in R</w:t>
            </w:r>
          </w:p>
        </w:tc>
      </w:tr>
      <w:tr w:rsidR="00305827" w:rsidRPr="0081372B" w14:paraId="1B729ACC" w14:textId="77777777" w:rsidTr="00847BA9">
        <w:tc>
          <w:tcPr>
            <w:tcW w:w="2322" w:type="dxa"/>
            <w:vMerge/>
            <w:vAlign w:val="center"/>
          </w:tcPr>
          <w:p w14:paraId="4822384F" w14:textId="33420F71" w:rsidR="00305827" w:rsidRPr="0081372B" w:rsidRDefault="00305827" w:rsidP="006E26AE">
            <w:pPr>
              <w:jc w:val="center"/>
            </w:pPr>
          </w:p>
        </w:tc>
        <w:tc>
          <w:tcPr>
            <w:tcW w:w="3330" w:type="dxa"/>
            <w:vAlign w:val="center"/>
          </w:tcPr>
          <w:p w14:paraId="63D71606" w14:textId="28F7722F" w:rsidR="00305827" w:rsidRPr="0081372B" w:rsidRDefault="00305827" w:rsidP="00305827">
            <w:r>
              <w:t xml:space="preserve">Reproducible Workflow </w:t>
            </w:r>
          </w:p>
        </w:tc>
        <w:tc>
          <w:tcPr>
            <w:tcW w:w="3240" w:type="dxa"/>
            <w:vAlign w:val="center"/>
          </w:tcPr>
          <w:p w14:paraId="4D74D087" w14:textId="71C3F43A" w:rsidR="00305827" w:rsidRPr="0081372B" w:rsidRDefault="00305827" w:rsidP="008B0492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spellStart"/>
            <w:r>
              <w:rPr>
                <w:sz w:val="22"/>
              </w:rPr>
              <w:t>knitr</w:t>
            </w:r>
            <w:proofErr w:type="spellEnd"/>
            <w:r>
              <w:rPr>
                <w:sz w:val="22"/>
              </w:rPr>
              <w:t>”, “</w:t>
            </w:r>
            <w:proofErr w:type="spellStart"/>
            <w:r>
              <w:rPr>
                <w:sz w:val="22"/>
              </w:rPr>
              <w:t>rmarkdown</w:t>
            </w:r>
            <w:proofErr w:type="spellEnd"/>
            <w:r>
              <w:rPr>
                <w:sz w:val="22"/>
              </w:rPr>
              <w:t>”</w:t>
            </w:r>
          </w:p>
        </w:tc>
        <w:tc>
          <w:tcPr>
            <w:tcW w:w="1710" w:type="dxa"/>
            <w:vMerge/>
            <w:vAlign w:val="center"/>
          </w:tcPr>
          <w:p w14:paraId="1570978C" w14:textId="2E8F5D05" w:rsidR="00305827" w:rsidRPr="0081372B" w:rsidRDefault="00305827" w:rsidP="00305827">
            <w:pPr>
              <w:jc w:val="center"/>
              <w:rPr>
                <w:sz w:val="22"/>
              </w:rPr>
            </w:pPr>
          </w:p>
        </w:tc>
      </w:tr>
      <w:tr w:rsidR="00305827" w:rsidRPr="0081372B" w14:paraId="76CA06B1" w14:textId="77777777" w:rsidTr="00847BA9">
        <w:tc>
          <w:tcPr>
            <w:tcW w:w="2322" w:type="dxa"/>
            <w:vMerge/>
            <w:vAlign w:val="center"/>
          </w:tcPr>
          <w:p w14:paraId="16A93BC9" w14:textId="1B09B61C" w:rsidR="00305827" w:rsidRPr="0081372B" w:rsidRDefault="00305827" w:rsidP="006E26AE">
            <w:pPr>
              <w:jc w:val="center"/>
            </w:pPr>
          </w:p>
        </w:tc>
        <w:tc>
          <w:tcPr>
            <w:tcW w:w="3330" w:type="dxa"/>
            <w:vAlign w:val="center"/>
          </w:tcPr>
          <w:p w14:paraId="75673FEB" w14:textId="057D4F95" w:rsidR="00305827" w:rsidRPr="0081372B" w:rsidRDefault="00305827" w:rsidP="008B0492">
            <w:r>
              <w:t>Figures</w:t>
            </w:r>
          </w:p>
        </w:tc>
        <w:tc>
          <w:tcPr>
            <w:tcW w:w="3240" w:type="dxa"/>
            <w:vAlign w:val="center"/>
          </w:tcPr>
          <w:p w14:paraId="150C1987" w14:textId="3362BA02" w:rsidR="00305827" w:rsidRPr="0081372B" w:rsidRDefault="00305827" w:rsidP="008B0492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“ggplot2”</w:t>
            </w:r>
          </w:p>
        </w:tc>
        <w:tc>
          <w:tcPr>
            <w:tcW w:w="1710" w:type="dxa"/>
            <w:vMerge/>
            <w:vAlign w:val="center"/>
          </w:tcPr>
          <w:p w14:paraId="0C3C0CF7" w14:textId="120B5D0F" w:rsidR="00305827" w:rsidRPr="0081372B" w:rsidRDefault="00305827" w:rsidP="00305827">
            <w:pPr>
              <w:jc w:val="center"/>
              <w:rPr>
                <w:sz w:val="22"/>
              </w:rPr>
            </w:pPr>
          </w:p>
        </w:tc>
      </w:tr>
      <w:tr w:rsidR="00305827" w:rsidRPr="0081372B" w14:paraId="082753E7" w14:textId="77777777" w:rsidTr="00847BA9">
        <w:trPr>
          <w:trHeight w:val="415"/>
        </w:trPr>
        <w:tc>
          <w:tcPr>
            <w:tcW w:w="2322" w:type="dxa"/>
            <w:vMerge/>
            <w:vAlign w:val="center"/>
          </w:tcPr>
          <w:p w14:paraId="3F6F9F86" w14:textId="77777777" w:rsidR="00305827" w:rsidRPr="0081372B" w:rsidRDefault="00305827" w:rsidP="006E26AE">
            <w:pPr>
              <w:jc w:val="center"/>
            </w:pPr>
          </w:p>
        </w:tc>
        <w:tc>
          <w:tcPr>
            <w:tcW w:w="3330" w:type="dxa"/>
            <w:vAlign w:val="center"/>
          </w:tcPr>
          <w:p w14:paraId="3847AED2" w14:textId="40DF2929" w:rsidR="00305827" w:rsidRPr="0081372B" w:rsidRDefault="00305827" w:rsidP="008B0492">
            <w:r>
              <w:t>Tables</w:t>
            </w:r>
          </w:p>
        </w:tc>
        <w:tc>
          <w:tcPr>
            <w:tcW w:w="3240" w:type="dxa"/>
            <w:vAlign w:val="center"/>
          </w:tcPr>
          <w:p w14:paraId="310A91A5" w14:textId="4C3ADD24" w:rsidR="00305827" w:rsidRPr="0081372B" w:rsidRDefault="00305827" w:rsidP="008B0492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spellStart"/>
            <w:r>
              <w:rPr>
                <w:sz w:val="22"/>
              </w:rPr>
              <w:t>texreg</w:t>
            </w:r>
            <w:proofErr w:type="spellEnd"/>
            <w:r>
              <w:rPr>
                <w:sz w:val="22"/>
              </w:rPr>
              <w:t>”, “stargazer”, “furniture”</w:t>
            </w:r>
          </w:p>
        </w:tc>
        <w:tc>
          <w:tcPr>
            <w:tcW w:w="1710" w:type="dxa"/>
            <w:vMerge/>
            <w:vAlign w:val="center"/>
          </w:tcPr>
          <w:p w14:paraId="7D823B3B" w14:textId="58422093" w:rsidR="00305827" w:rsidRPr="0081372B" w:rsidRDefault="00305827" w:rsidP="00305827">
            <w:pPr>
              <w:jc w:val="center"/>
              <w:rPr>
                <w:sz w:val="22"/>
              </w:rPr>
            </w:pPr>
          </w:p>
        </w:tc>
      </w:tr>
      <w:tr w:rsidR="00305827" w:rsidRPr="0081372B" w14:paraId="36165059" w14:textId="77777777" w:rsidTr="00847BA9">
        <w:tc>
          <w:tcPr>
            <w:tcW w:w="2322" w:type="dxa"/>
            <w:vMerge w:val="restart"/>
            <w:vAlign w:val="center"/>
          </w:tcPr>
          <w:p w14:paraId="0F6C5FA8" w14:textId="4B9E709E" w:rsidR="00305827" w:rsidRDefault="00305827" w:rsidP="006E26AE">
            <w:pPr>
              <w:jc w:val="center"/>
            </w:pPr>
            <w:r>
              <w:t>Version Control,</w:t>
            </w:r>
          </w:p>
          <w:p w14:paraId="67CA75FE" w14:textId="3402523A" w:rsidR="00305827" w:rsidRPr="0081372B" w:rsidRDefault="00305827" w:rsidP="006E26AE">
            <w:pPr>
              <w:jc w:val="center"/>
            </w:pPr>
            <w:r>
              <w:t>Loops, Functions, Packages</w:t>
            </w:r>
          </w:p>
        </w:tc>
        <w:tc>
          <w:tcPr>
            <w:tcW w:w="3330" w:type="dxa"/>
            <w:vAlign w:val="center"/>
          </w:tcPr>
          <w:p w14:paraId="5D1D9080" w14:textId="18534D45" w:rsidR="00305827" w:rsidRPr="0081372B" w:rsidRDefault="00305827" w:rsidP="008B0492">
            <w:r>
              <w:t>Git and GitHub</w:t>
            </w:r>
          </w:p>
        </w:tc>
        <w:tc>
          <w:tcPr>
            <w:tcW w:w="3240" w:type="dxa"/>
            <w:vAlign w:val="center"/>
          </w:tcPr>
          <w:p w14:paraId="523D68AC" w14:textId="50346A19" w:rsidR="00305827" w:rsidRPr="0081372B" w:rsidRDefault="00305827" w:rsidP="008B0492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  <w:vMerge w:val="restart"/>
            <w:vAlign w:val="center"/>
          </w:tcPr>
          <w:p w14:paraId="7C7898EE" w14:textId="77777777" w:rsidR="00305827" w:rsidRDefault="00305827" w:rsidP="00305827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RMarkdown</w:t>
            </w:r>
            <w:proofErr w:type="spellEnd"/>
            <w:r>
              <w:rPr>
                <w:sz w:val="22"/>
              </w:rPr>
              <w:t xml:space="preserve"> # </w:t>
            </w:r>
            <w:r w:rsidR="002D2E89">
              <w:rPr>
                <w:sz w:val="22"/>
              </w:rPr>
              <w:t>3</w:t>
            </w:r>
          </w:p>
          <w:p w14:paraId="18E57716" w14:textId="398FEF8D" w:rsidR="005D78E8" w:rsidRPr="0081372B" w:rsidRDefault="005D78E8" w:rsidP="003058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Repo</w:t>
            </w:r>
          </w:p>
        </w:tc>
      </w:tr>
      <w:tr w:rsidR="00305827" w:rsidRPr="0081372B" w14:paraId="68240C60" w14:textId="77777777" w:rsidTr="00847BA9">
        <w:tc>
          <w:tcPr>
            <w:tcW w:w="2322" w:type="dxa"/>
            <w:vMerge/>
            <w:vAlign w:val="center"/>
          </w:tcPr>
          <w:p w14:paraId="52CF233C" w14:textId="77777777" w:rsidR="00305827" w:rsidRDefault="00305827" w:rsidP="006E26AE">
            <w:pPr>
              <w:jc w:val="center"/>
            </w:pPr>
          </w:p>
        </w:tc>
        <w:tc>
          <w:tcPr>
            <w:tcW w:w="3330" w:type="dxa"/>
            <w:vAlign w:val="center"/>
          </w:tcPr>
          <w:p w14:paraId="6F878532" w14:textId="1BC06329" w:rsidR="00305827" w:rsidRDefault="00305827" w:rsidP="008B0492">
            <w:r>
              <w:t>Review of Loops and Functions</w:t>
            </w:r>
          </w:p>
        </w:tc>
        <w:tc>
          <w:tcPr>
            <w:tcW w:w="3240" w:type="dxa"/>
            <w:vAlign w:val="center"/>
          </w:tcPr>
          <w:p w14:paraId="3D0DB0A5" w14:textId="53DF4F3F" w:rsidR="00305827" w:rsidRDefault="00305827" w:rsidP="008B0492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spellStart"/>
            <w:r>
              <w:rPr>
                <w:sz w:val="22"/>
              </w:rPr>
              <w:t>purrr</w:t>
            </w:r>
            <w:proofErr w:type="spellEnd"/>
            <w:r>
              <w:rPr>
                <w:sz w:val="22"/>
              </w:rPr>
              <w:t>”</w:t>
            </w:r>
          </w:p>
        </w:tc>
        <w:tc>
          <w:tcPr>
            <w:tcW w:w="1710" w:type="dxa"/>
            <w:vMerge/>
            <w:vAlign w:val="center"/>
          </w:tcPr>
          <w:p w14:paraId="513E8FEB" w14:textId="77777777" w:rsidR="00305827" w:rsidRDefault="00305827" w:rsidP="00305827">
            <w:pPr>
              <w:jc w:val="center"/>
              <w:rPr>
                <w:sz w:val="22"/>
              </w:rPr>
            </w:pPr>
          </w:p>
        </w:tc>
      </w:tr>
      <w:tr w:rsidR="00305827" w:rsidRPr="0081372B" w14:paraId="0D1486C8" w14:textId="77777777" w:rsidTr="00847BA9">
        <w:tc>
          <w:tcPr>
            <w:tcW w:w="2322" w:type="dxa"/>
            <w:vMerge/>
            <w:vAlign w:val="center"/>
          </w:tcPr>
          <w:p w14:paraId="11153981" w14:textId="77777777" w:rsidR="00305827" w:rsidRPr="0081372B" w:rsidRDefault="00305827" w:rsidP="006E26AE">
            <w:pPr>
              <w:jc w:val="center"/>
            </w:pPr>
          </w:p>
        </w:tc>
        <w:tc>
          <w:tcPr>
            <w:tcW w:w="3330" w:type="dxa"/>
            <w:vAlign w:val="center"/>
          </w:tcPr>
          <w:p w14:paraId="764BD52A" w14:textId="4DC7F831" w:rsidR="00305827" w:rsidRPr="0081372B" w:rsidRDefault="00305827" w:rsidP="008B0492">
            <w:r>
              <w:t>Writing Functions</w:t>
            </w:r>
          </w:p>
        </w:tc>
        <w:tc>
          <w:tcPr>
            <w:tcW w:w="3240" w:type="dxa"/>
            <w:vAlign w:val="center"/>
          </w:tcPr>
          <w:p w14:paraId="563D9B27" w14:textId="32D98698" w:rsidR="00305827" w:rsidRPr="0081372B" w:rsidRDefault="00305827" w:rsidP="008B0492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“roxygen2”</w:t>
            </w:r>
          </w:p>
        </w:tc>
        <w:tc>
          <w:tcPr>
            <w:tcW w:w="1710" w:type="dxa"/>
            <w:vMerge w:val="restart"/>
            <w:vAlign w:val="center"/>
          </w:tcPr>
          <w:p w14:paraId="61E5CF42" w14:textId="77777777" w:rsidR="00305827" w:rsidRDefault="00305827" w:rsidP="00305827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RMarkdown</w:t>
            </w:r>
            <w:proofErr w:type="spellEnd"/>
            <w:r>
              <w:rPr>
                <w:sz w:val="22"/>
              </w:rPr>
              <w:t xml:space="preserve"> # </w:t>
            </w:r>
            <w:r w:rsidR="002D2E89">
              <w:rPr>
                <w:sz w:val="22"/>
              </w:rPr>
              <w:t>4</w:t>
            </w:r>
          </w:p>
          <w:p w14:paraId="1475FA6B" w14:textId="484D0B6A" w:rsidR="005D78E8" w:rsidRPr="0081372B" w:rsidRDefault="005D78E8" w:rsidP="003058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R Package</w:t>
            </w:r>
          </w:p>
        </w:tc>
      </w:tr>
      <w:tr w:rsidR="00305827" w:rsidRPr="0081372B" w14:paraId="5B12B3D9" w14:textId="77777777" w:rsidTr="00847BA9">
        <w:tc>
          <w:tcPr>
            <w:tcW w:w="2322" w:type="dxa"/>
            <w:vMerge/>
            <w:vAlign w:val="center"/>
          </w:tcPr>
          <w:p w14:paraId="67836B10" w14:textId="04ABFA46" w:rsidR="00305827" w:rsidRPr="0081372B" w:rsidRDefault="00305827" w:rsidP="006E26AE">
            <w:pPr>
              <w:jc w:val="center"/>
            </w:pPr>
          </w:p>
        </w:tc>
        <w:tc>
          <w:tcPr>
            <w:tcW w:w="3330" w:type="dxa"/>
            <w:vAlign w:val="center"/>
          </w:tcPr>
          <w:p w14:paraId="37AF3ECC" w14:textId="16B53FD1" w:rsidR="00305827" w:rsidRPr="0081372B" w:rsidRDefault="00305827" w:rsidP="008B0492">
            <w:r>
              <w:t>Creating a Package</w:t>
            </w:r>
          </w:p>
        </w:tc>
        <w:tc>
          <w:tcPr>
            <w:tcW w:w="3240" w:type="dxa"/>
            <w:vAlign w:val="center"/>
          </w:tcPr>
          <w:p w14:paraId="5908E6DC" w14:textId="09F6FA7E" w:rsidR="00305827" w:rsidRPr="0081372B" w:rsidRDefault="00305827" w:rsidP="008B0492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spellStart"/>
            <w:r>
              <w:rPr>
                <w:sz w:val="22"/>
              </w:rPr>
              <w:t>devtools</w:t>
            </w:r>
            <w:proofErr w:type="spellEnd"/>
            <w:r>
              <w:rPr>
                <w:sz w:val="22"/>
              </w:rPr>
              <w:t>”</w:t>
            </w:r>
          </w:p>
        </w:tc>
        <w:tc>
          <w:tcPr>
            <w:tcW w:w="1710" w:type="dxa"/>
            <w:vMerge/>
            <w:vAlign w:val="center"/>
          </w:tcPr>
          <w:p w14:paraId="458D5C17" w14:textId="105A5D79" w:rsidR="00305827" w:rsidRPr="0081372B" w:rsidRDefault="00305827" w:rsidP="007A7AC9">
            <w:pPr>
              <w:jc w:val="center"/>
              <w:rPr>
                <w:sz w:val="22"/>
              </w:rPr>
            </w:pPr>
          </w:p>
        </w:tc>
      </w:tr>
    </w:tbl>
    <w:p w14:paraId="45D2AB75" w14:textId="77777777" w:rsidR="00072077" w:rsidRPr="0081372B" w:rsidRDefault="00072077" w:rsidP="00305827"/>
    <w:sectPr w:rsidR="00072077" w:rsidRPr="0081372B" w:rsidSect="00847BA9">
      <w:headerReference w:type="first" r:id="rId12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BB665" w14:textId="77777777" w:rsidR="00BF4A17" w:rsidRDefault="00BF4A17" w:rsidP="00D0331E">
      <w:r>
        <w:separator/>
      </w:r>
    </w:p>
  </w:endnote>
  <w:endnote w:type="continuationSeparator" w:id="0">
    <w:p w14:paraId="0A9F5A7A" w14:textId="77777777" w:rsidR="00BF4A17" w:rsidRDefault="00BF4A17" w:rsidP="00D0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6E441" w14:textId="77777777" w:rsidR="00BF4A17" w:rsidRDefault="00BF4A17" w:rsidP="00D0331E">
      <w:r>
        <w:separator/>
      </w:r>
    </w:p>
  </w:footnote>
  <w:footnote w:type="continuationSeparator" w:id="0">
    <w:p w14:paraId="4F11A4DC" w14:textId="77777777" w:rsidR="00BF4A17" w:rsidRDefault="00BF4A17" w:rsidP="00D033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C821A" w14:textId="77777777" w:rsidR="00D0331E" w:rsidRDefault="00D0331E" w:rsidP="00D0331E">
    <w:pPr>
      <w:jc w:val="center"/>
      <w:rPr>
        <w:b/>
      </w:rPr>
    </w:pPr>
  </w:p>
  <w:p w14:paraId="2869D33C" w14:textId="77B9B1F2" w:rsidR="00B26A58" w:rsidRPr="0081372B" w:rsidRDefault="00D0331E" w:rsidP="00B26A58">
    <w:pPr>
      <w:jc w:val="center"/>
      <w:rPr>
        <w:b/>
      </w:rPr>
    </w:pPr>
    <w:r w:rsidRPr="0081372B">
      <w:rPr>
        <w:b/>
      </w:rPr>
      <w:t xml:space="preserve">R for the </w:t>
    </w:r>
    <w:r w:rsidR="00AD167F" w:rsidRPr="00AD167F">
      <w:rPr>
        <w:b/>
      </w:rPr>
      <w:t>Health, Behavioral,</w:t>
    </w:r>
    <w:r w:rsidR="00AD167F">
      <w:rPr>
        <w:b/>
      </w:rPr>
      <w:t xml:space="preserve"> </w:t>
    </w:r>
    <w:r w:rsidR="00AD167F" w:rsidRPr="00AD167F">
      <w:rPr>
        <w:b/>
      </w:rPr>
      <w:t>Educational, and Social Scientists</w:t>
    </w:r>
    <w:r w:rsidR="00B26A58">
      <w:rPr>
        <w:b/>
      </w:rPr>
      <w:t xml:space="preserve"> II</w:t>
    </w:r>
  </w:p>
  <w:p w14:paraId="3930EEA8" w14:textId="0AB73B71" w:rsidR="00D0331E" w:rsidRPr="0081372B" w:rsidRDefault="007E5854" w:rsidP="00D0331E">
    <w:pPr>
      <w:jc w:val="center"/>
    </w:pPr>
    <w:r>
      <w:t xml:space="preserve">CEPS </w:t>
    </w:r>
    <w:r w:rsidR="00F87D46">
      <w:t>5700</w:t>
    </w:r>
  </w:p>
  <w:p w14:paraId="6560F513" w14:textId="77777777" w:rsidR="00D0331E" w:rsidRDefault="00D0331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B08E4"/>
    <w:multiLevelType w:val="hybridMultilevel"/>
    <w:tmpl w:val="88D02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05209"/>
    <w:multiLevelType w:val="hybridMultilevel"/>
    <w:tmpl w:val="D5CA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C033D"/>
    <w:multiLevelType w:val="hybridMultilevel"/>
    <w:tmpl w:val="B88E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165A6"/>
    <w:multiLevelType w:val="hybridMultilevel"/>
    <w:tmpl w:val="D722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13D4B"/>
    <w:multiLevelType w:val="hybridMultilevel"/>
    <w:tmpl w:val="7B969A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77"/>
    <w:rsid w:val="0001762D"/>
    <w:rsid w:val="00072077"/>
    <w:rsid w:val="000B0B40"/>
    <w:rsid w:val="000C71D7"/>
    <w:rsid w:val="000D19AA"/>
    <w:rsid w:val="00153C68"/>
    <w:rsid w:val="001C789E"/>
    <w:rsid w:val="00207CC0"/>
    <w:rsid w:val="00254B30"/>
    <w:rsid w:val="002603CF"/>
    <w:rsid w:val="00262F30"/>
    <w:rsid w:val="002707E5"/>
    <w:rsid w:val="00281271"/>
    <w:rsid w:val="002A33E5"/>
    <w:rsid w:val="002B5327"/>
    <w:rsid w:val="002C1086"/>
    <w:rsid w:val="002D2E89"/>
    <w:rsid w:val="002E7AFD"/>
    <w:rsid w:val="00305827"/>
    <w:rsid w:val="003125F6"/>
    <w:rsid w:val="00364570"/>
    <w:rsid w:val="00393FFB"/>
    <w:rsid w:val="003B485C"/>
    <w:rsid w:val="003E1112"/>
    <w:rsid w:val="003E58F4"/>
    <w:rsid w:val="003F0592"/>
    <w:rsid w:val="003F28B5"/>
    <w:rsid w:val="00411936"/>
    <w:rsid w:val="00493A1D"/>
    <w:rsid w:val="004C2C41"/>
    <w:rsid w:val="00583C4C"/>
    <w:rsid w:val="005B16B1"/>
    <w:rsid w:val="005D78E8"/>
    <w:rsid w:val="00647925"/>
    <w:rsid w:val="0069141A"/>
    <w:rsid w:val="00730184"/>
    <w:rsid w:val="00743EBC"/>
    <w:rsid w:val="00756C89"/>
    <w:rsid w:val="00797ACF"/>
    <w:rsid w:val="007A0E7D"/>
    <w:rsid w:val="007A7AC9"/>
    <w:rsid w:val="007C3F86"/>
    <w:rsid w:val="007E5854"/>
    <w:rsid w:val="007F3CDA"/>
    <w:rsid w:val="0081372B"/>
    <w:rsid w:val="00820540"/>
    <w:rsid w:val="00847BA9"/>
    <w:rsid w:val="00862D3B"/>
    <w:rsid w:val="00876618"/>
    <w:rsid w:val="00891063"/>
    <w:rsid w:val="008A317D"/>
    <w:rsid w:val="008B0492"/>
    <w:rsid w:val="008F0582"/>
    <w:rsid w:val="008F2974"/>
    <w:rsid w:val="008F336E"/>
    <w:rsid w:val="00915AED"/>
    <w:rsid w:val="00957C7C"/>
    <w:rsid w:val="00976A8C"/>
    <w:rsid w:val="009775ED"/>
    <w:rsid w:val="00A35508"/>
    <w:rsid w:val="00A66988"/>
    <w:rsid w:val="00AA0D3A"/>
    <w:rsid w:val="00AD167F"/>
    <w:rsid w:val="00AD629A"/>
    <w:rsid w:val="00AE0A4C"/>
    <w:rsid w:val="00AF5199"/>
    <w:rsid w:val="00AF7795"/>
    <w:rsid w:val="00B101A8"/>
    <w:rsid w:val="00B11D10"/>
    <w:rsid w:val="00B15E1B"/>
    <w:rsid w:val="00B26A58"/>
    <w:rsid w:val="00B905A8"/>
    <w:rsid w:val="00BA061C"/>
    <w:rsid w:val="00BA5BFB"/>
    <w:rsid w:val="00BF4A17"/>
    <w:rsid w:val="00BF5872"/>
    <w:rsid w:val="00C332E9"/>
    <w:rsid w:val="00C629FE"/>
    <w:rsid w:val="00C72606"/>
    <w:rsid w:val="00C849A7"/>
    <w:rsid w:val="00CF7D2A"/>
    <w:rsid w:val="00D0331E"/>
    <w:rsid w:val="00D111B9"/>
    <w:rsid w:val="00D46532"/>
    <w:rsid w:val="00D53821"/>
    <w:rsid w:val="00D56131"/>
    <w:rsid w:val="00D65F9F"/>
    <w:rsid w:val="00D876A6"/>
    <w:rsid w:val="00DB37C0"/>
    <w:rsid w:val="00DE7853"/>
    <w:rsid w:val="00E8121F"/>
    <w:rsid w:val="00EA0C8E"/>
    <w:rsid w:val="00EA1541"/>
    <w:rsid w:val="00EB5CC5"/>
    <w:rsid w:val="00EE5582"/>
    <w:rsid w:val="00F17D9A"/>
    <w:rsid w:val="00F2602E"/>
    <w:rsid w:val="00F32EB5"/>
    <w:rsid w:val="00F730F0"/>
    <w:rsid w:val="00F758D6"/>
    <w:rsid w:val="00F8141C"/>
    <w:rsid w:val="00F87D46"/>
    <w:rsid w:val="00F9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17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29FE"/>
    <w:pPr>
      <w:ind w:left="720"/>
      <w:contextualSpacing/>
    </w:pPr>
  </w:style>
  <w:style w:type="table" w:styleId="TableGrid">
    <w:name w:val="Table Grid"/>
    <w:basedOn w:val="TableNormal"/>
    <w:uiPriority w:val="39"/>
    <w:rsid w:val="00CF7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3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31E"/>
  </w:style>
  <w:style w:type="paragraph" w:styleId="Footer">
    <w:name w:val="footer"/>
    <w:basedOn w:val="Normal"/>
    <w:link w:val="FooterChar"/>
    <w:uiPriority w:val="99"/>
    <w:unhideWhenUsed/>
    <w:rsid w:val="00D03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tackoverflow.com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.barrett@aggiemail.usu.edu" TargetMode="External"/><Relationship Id="rId8" Type="http://schemas.openxmlformats.org/officeDocument/2006/relationships/hyperlink" Target="https://tysonstanley.github.io/Rstats" TargetMode="External"/><Relationship Id="rId9" Type="http://schemas.openxmlformats.org/officeDocument/2006/relationships/hyperlink" Target="http://www.r-bloggers.com" TargetMode="External"/><Relationship Id="rId10" Type="http://schemas.openxmlformats.org/officeDocument/2006/relationships/hyperlink" Target="http://www.statmethod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630</Words>
  <Characters>3593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S. Barrett</cp:lastModifiedBy>
  <cp:revision>24</cp:revision>
  <cp:lastPrinted>2016-04-07T19:10:00Z</cp:lastPrinted>
  <dcterms:created xsi:type="dcterms:W3CDTF">2017-06-27T02:22:00Z</dcterms:created>
  <dcterms:modified xsi:type="dcterms:W3CDTF">2017-08-15T00:27:00Z</dcterms:modified>
</cp:coreProperties>
</file>