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0917B1B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Syllabus, Textbook, 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07011BB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9D4974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Control &amp; Linear Models (and more R)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612695F4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2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The Simple Regression Model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A06F16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41F7E9E3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3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6653E78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Partial Relationship &amp; 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1AA40EAA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Inference in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657FB4B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5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Extending Regression Principles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4FCFCE6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6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vs. Experimental Control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2EA006F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3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1DDE692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7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Regression for Prediction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06F16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575232D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8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Assessing the Importance of Regressors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2F5CE2BD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F56E0C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71BE63B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 xml:space="preserve">Ch </w:t>
            </w:r>
            <w:r>
              <w:rPr>
                <w:rFonts w:ascii="Garamond" w:hAnsi="Garamond"/>
                <w:sz w:val="22"/>
                <w:szCs w:val="22"/>
              </w:rPr>
              <w:t>9 &amp; 10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Multi</w:t>
            </w:r>
            <w:r>
              <w:rPr>
                <w:rFonts w:ascii="Garamond" w:hAnsi="Garamond"/>
                <w:sz w:val="22"/>
                <w:szCs w:val="22"/>
              </w:rPr>
              <w:t>-</w:t>
            </w:r>
            <w:r w:rsidRPr="00167A59">
              <w:rPr>
                <w:rFonts w:ascii="Garamond" w:hAnsi="Garamond"/>
                <w:sz w:val="22"/>
                <w:szCs w:val="22"/>
              </w:rPr>
              <w:t>categorical Regressors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47344B51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C3A4EF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6BE074A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2A97E83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FFFFFF" w:themeFill="background1"/>
            <w:vAlign w:val="center"/>
          </w:tcPr>
          <w:p w14:paraId="519D069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1011D18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69EF9C3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8AC6E3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CE7D0BC" w14:textId="58C0702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043F7A4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12423E80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12646608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Multiple Tests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30AAF6D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9CD0102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109846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A0CE835" w14:textId="666DA71C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6C3503E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8E2CBA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3FAB4AF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968A1C8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E132F4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263D482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12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14:paraId="33806146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3A431943" w14:textId="7603684C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3B2CF2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4657B74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2E1F1A0D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20DC8F2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F208F66" w14:textId="54293396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7F2A152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0C7A052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B91603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5E2BA10" w14:textId="787860FA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14:paraId="7608E2F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vMerge w:val="restart"/>
            <w:shd w:val="clear" w:color="auto" w:fill="E7E6E6" w:themeFill="background2"/>
            <w:vAlign w:val="center"/>
          </w:tcPr>
          <w:p w14:paraId="4DF7C77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shd w:val="clear" w:color="auto" w:fill="E7E6E6" w:themeFill="background2"/>
            <w:vAlign w:val="center"/>
          </w:tcPr>
          <w:p w14:paraId="35AC00D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F493CC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73246C9A" w14:textId="0E176273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14:paraId="5767353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vMerge/>
            <w:shd w:val="clear" w:color="auto" w:fill="E7E6E6" w:themeFill="background2"/>
            <w:vAlign w:val="center"/>
          </w:tcPr>
          <w:p w14:paraId="2D72A1E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587F704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Probing Interactions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0F036829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16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213EDC4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1A046F5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6490B42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17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Miscellaneous topics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4CF90594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30A6FB3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18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56E04331" w:rsidR="00A06F16" w:rsidRPr="00167A59" w:rsidRDefault="00936C84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7BC53E7F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43EFA42E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6D446A18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  <w:bookmarkStart w:id="0" w:name="_GoBack"/>
            <w:bookmarkEnd w:id="0"/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7E5361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74A707AA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4F4566AA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Directed Acyclic Graphs &amp; Causality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5C3E68DA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</w:t>
            </w:r>
            <w:r w:rsidR="009D4974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1CAE77D2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April </w:t>
            </w:r>
            <w:r w:rsidR="009D4974">
              <w:rPr>
                <w:rFonts w:ascii="Garamond" w:hAnsi="Garamond"/>
                <w:sz w:val="22"/>
                <w:szCs w:val="22"/>
              </w:rPr>
              <w:t>29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936C84" w:rsidRPr="00167A59" w:rsidRDefault="00BD5275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BD5275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A193E"/>
    <w:rsid w:val="00375CB3"/>
    <w:rsid w:val="00866400"/>
    <w:rsid w:val="00936C84"/>
    <w:rsid w:val="009D4974"/>
    <w:rsid w:val="00A06F16"/>
    <w:rsid w:val="00BD5275"/>
    <w:rsid w:val="00C24981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4</cp:revision>
  <dcterms:created xsi:type="dcterms:W3CDTF">2019-04-24T22:56:00Z</dcterms:created>
  <dcterms:modified xsi:type="dcterms:W3CDTF">2019-12-14T08:02:00Z</dcterms:modified>
</cp:coreProperties>
</file>