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an AI-Driven Cold Email Generator web application with the following specifications: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**Core Functionality:**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Single-page React application with clean, modern UI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Two main input fields: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1. Product/Service Description (large textarea)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2. Target Audience Details (textarea for demographics, pain points, industry)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"Generate Cold Email Sequence" button that creates 3-5 personalized emails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Display generated emails in expandable cards with copy-to-clipboard functionality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**AI Integration:**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Use OpenAI API or similar to generate personalized cold email sequences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Include subject lines, email body, and call-to-action for each email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Vary tone and approach across the sequence (introductory, value-focused, urgency-driven)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Generate emails optimized for different stages of the funnel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**Additional Features:**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Deliverability Checklist component that analyzes generated emails for: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* Spam trigger words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* Subject line length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* Email length optimization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* Personalization score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A/B Test Suggestions section with alternative subject lines and opening hooks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Email templates library with industry-specific examples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Export functionality (copy all emails, download as .txt)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**UI/UX Requirements:**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-make sure to leave space for ads as that's how this stays a free service and only way I get paid. Leave space at the very top for an ad banner, at the very bottom space for another ad banner. On the sides display ads. Leave space for about 6 ads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-Unique, original dark themed with neon greenish yellow accents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Responsive design that works on mobile and desktop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Loading states while generating emails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Professional color scheme (blues/grays recommended)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Clear typography and generous whitespace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Progress indicators for multi-step generation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**Technical Stack:**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React with hooks for state management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Styled-components or Tailwind CSS for styling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Axios for API calls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Local storage to save recent generations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Environment variables for API keys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Make the interface intuitive for non-technical users while providing powerful customization options for advanced users. Focus on generating high-converting, deliverable cold emails that feel personal and valuable rather than spammy.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