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(TytoLogy):</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 xml:space="preserve">Note that sampling rate will be </w:t>
      </w:r>
      <w:proofErr w:type="gramStart"/>
      <w:r>
        <w:t>different</w:t>
      </w:r>
      <w:proofErr w:type="gramEnd"/>
      <w:r>
        <w:t xml:space="preserve">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B15FF9"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 xml:space="preserve">1 </w:t>
      </w:r>
      <w:proofErr w:type="gramStart"/>
      <w:r>
        <w:t>April,</w:t>
      </w:r>
      <w:proofErr w:type="gramEnd"/>
      <w:r>
        <w:t xml:space="preserve">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 xml:space="preserve">Thanks for your email. Unfortunately, there will not be a way to include the A/D channel number for your specific files when using the “Export Per Waveform” option in Offline Sorter. A </w:t>
      </w:r>
      <w:proofErr w:type="gramStart"/>
      <w:r>
        <w:rPr>
          <w:rFonts w:ascii="Calibri" w:hAnsi="Calibri" w:cs="Calibri"/>
          <w:color w:val="1F497D"/>
          <w:sz w:val="22"/>
          <w:szCs w:val="22"/>
        </w:rPr>
        <w:t>peripherally-related</w:t>
      </w:r>
      <w:proofErr w:type="gramEnd"/>
      <w:r>
        <w:rPr>
          <w:rFonts w:ascii="Calibri" w:hAnsi="Calibri" w:cs="Calibri"/>
          <w:color w:val="1F497D"/>
          <w:sz w:val="22"/>
          <w:szCs w:val="22"/>
        </w:rPr>
        <w:t xml:space="preserve">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B15FF9"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B15FF9"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lastRenderedPageBreak/>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B15FF9"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 xml:space="preserve">11 </w:t>
      </w:r>
      <w:proofErr w:type="gramStart"/>
      <w:r>
        <w:t>May,</w:t>
      </w:r>
      <w:proofErr w:type="gramEnd"/>
      <w:r>
        <w:t xml:space="preserve">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 xml:space="preserve">14 </w:t>
      </w:r>
      <w:proofErr w:type="gramStart"/>
      <w:r>
        <w:t>May,</w:t>
      </w:r>
      <w:proofErr w:type="gramEnd"/>
      <w:r>
        <w:t xml:space="preserve"> 2020</w:t>
      </w:r>
    </w:p>
    <w:p w14:paraId="67019E69" w14:textId="44271157" w:rsidR="00555954" w:rsidRDefault="00555954" w:rsidP="00B26A0E"/>
    <w:p w14:paraId="29D0FF5D" w14:textId="42077719" w:rsidR="00555954" w:rsidRDefault="00B15FF9"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proofErr w:type="gramStart"/>
      <w:r>
        <w:rPr>
          <w:rStyle w:val="n"/>
        </w:rPr>
        <w:t>are</w:t>
      </w:r>
      <w:proofErr w:type="gramEnd"/>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proofErr w:type="gramStart"/>
      <w:r>
        <w:rPr>
          <w:rStyle w:val="mn"/>
          <w:rFonts w:ascii="STIXGeneral" w:hAnsi="STIXGeneral" w:cs="STIXGeneral"/>
          <w:sz w:val="20"/>
          <w:szCs w:val="20"/>
        </w:rPr>
        <w:t>1</w:t>
      </w:r>
      <w:r>
        <w:rPr>
          <w:rStyle w:val="mo"/>
          <w:rFonts w:ascii="STIXGeneral" w:hAnsi="STIXGeneral" w:cs="STIXGeneral"/>
          <w:sz w:val="28"/>
          <w:szCs w:val="28"/>
        </w:rPr>
        <w:t>,...</w:t>
      </w:r>
      <w:proofErr w:type="gramEnd"/>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proofErr w:type="gramStart"/>
      <w:r>
        <w:rPr>
          <w:rStyle w:val="mi"/>
          <w:rFonts w:ascii="STIXGeneral" w:hAnsi="STIXGeneral" w:cs="STIXGeneral"/>
          <w:i/>
          <w:iCs/>
          <w:sz w:val="28"/>
          <w:szCs w:val="28"/>
        </w:rPr>
        <w:t>𝑐</w:t>
      </w:r>
      <w:r>
        <w:rPr>
          <w:rStyle w:val="mi"/>
          <w:rFonts w:ascii="STIXGeneral" w:hAnsi="STIXGeneral" w:cs="STIXGeneral"/>
          <w:i/>
          <w:iCs/>
          <w:sz w:val="20"/>
          <w:szCs w:val="20"/>
        </w:rPr>
        <w:t>𝑖</w:t>
      </w:r>
      <w:proofErr w:type="gramEnd"/>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proofErr w:type="gramStart"/>
      <w:r>
        <w:rPr>
          <w:rStyle w:val="mo"/>
          <w:rFonts w:ascii="STIXGeneral" w:hAnsi="STIXGeneral" w:cs="STIXGeneral"/>
          <w:sz w:val="28"/>
          <w:szCs w:val="28"/>
        </w:rPr>
        <w:t>),...</w:t>
      </w:r>
      <w:proofErr w:type="gramEnd"/>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lastRenderedPageBreak/>
        <w:t xml:space="preserve">This is simply the flatten version of your </w:t>
      </w:r>
      <w:proofErr w:type="gramStart"/>
      <w:r>
        <w:t>recordings</w:t>
      </w:r>
      <w:proofErr w:type="gramEnd"/>
      <w:r>
        <w:t xml:space="preserve">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proofErr w:type="gramStart"/>
      <w:r>
        <w:rPr>
          <w:rStyle w:val="n"/>
        </w:rPr>
        <w:t>are</w:t>
      </w:r>
      <w:proofErr w:type="gramEnd"/>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w:t>
      </w:r>
      <w:proofErr w:type="gramStart"/>
      <w:r>
        <w:t>So</w:t>
      </w:r>
      <w:proofErr w:type="gramEnd"/>
      <w:r>
        <w:t xml:space="preserve">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lastRenderedPageBreak/>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t>Configuration File</w:t>
      </w:r>
    </w:p>
    <w:p w14:paraId="27788C2C" w14:textId="77777777" w:rsidR="007C77A3" w:rsidRDefault="007C77A3" w:rsidP="007C77A3">
      <w:pPr>
        <w:pStyle w:val="NormalWeb"/>
      </w:pPr>
      <w:r>
        <w:t xml:space="preserve">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w:t>
      </w:r>
      <w:proofErr w:type="gramStart"/>
      <w:r>
        <w:t>are the most important ones</w:t>
      </w:r>
      <w:proofErr w:type="gramEnd"/>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lastRenderedPageBreak/>
        <w:t>overwrite</w:t>
      </w:r>
      <w:r>
        <w:t xml:space="preserve"> If True, data are overwritten during filtering, assuming the file format has </w:t>
      </w:r>
      <w:proofErr w:type="gramStart"/>
      <w:r>
        <w:t>write</w:t>
      </w:r>
      <w:proofErr w:type="gramEnd"/>
      <w:r>
        <w:t xml:space="preserv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w:t>
      </w:r>
      <w:proofErr w:type="gramStart"/>
      <w:r>
        <w:t>The</w:t>
      </w:r>
      <w:proofErr w:type="gramEnd"/>
      <w:r>
        <w:t xml:space="preserv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w:t>
      </w:r>
      <w:proofErr w:type="gramStart"/>
      <w:r>
        <w:t>The</w:t>
      </w:r>
      <w:proofErr w:type="gramEnd"/>
      <w:r>
        <w:t xml:space="preserv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w:t>
      </w:r>
      <w:proofErr w:type="gramStart"/>
      <w:r>
        <w:t>The</w:t>
      </w:r>
      <w:proofErr w:type="gramEnd"/>
      <w:r>
        <w:t xml:space="preserv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w:t>
      </w:r>
      <w:proofErr w:type="gramStart"/>
      <w:r>
        <w:t>By</w:t>
      </w:r>
      <w:proofErr w:type="gramEnd"/>
      <w:r>
        <w:t xml:space="preserve">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w:t>
      </w:r>
      <w:proofErr w:type="gramStart"/>
      <w:r>
        <w:rPr>
          <w:rStyle w:val="c1"/>
        </w:rPr>
        <w:t>channels</w:t>
      </w:r>
      <w:proofErr w:type="gramEnd"/>
      <w:r>
        <w:rPr>
          <w:rStyle w:val="c1"/>
        </w:rPr>
        <w:t xml:space="preserve">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lastRenderedPageBreak/>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cut_off</w:t>
      </w:r>
      <w:proofErr w:type="spellEnd"/>
      <w:r>
        <w:t xml:space="preserve"> </w:t>
      </w:r>
      <w:proofErr w:type="gramStart"/>
      <w:r>
        <w:t>The</w:t>
      </w:r>
      <w:proofErr w:type="gramEnd"/>
      <w:r>
        <w:t xml:space="preserv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w:t>
      </w:r>
      <w:proofErr w:type="gramStart"/>
      <w:r>
        <w:t>reference, and</w:t>
      </w:r>
      <w:proofErr w:type="gramEnd"/>
      <w:r>
        <w:t xml:space="preserve">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r>
        <w:rPr>
          <w:rStyle w:val="n"/>
        </w:rPr>
        <w:t>ms</w:t>
      </w:r>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r>
        <w:rPr>
          <w:rStyle w:val="n"/>
        </w:rPr>
        <w:t>ms</w:t>
      </w:r>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w:t>
      </w:r>
      <w:proofErr w:type="gramStart"/>
      <w:r>
        <w:t>The</w:t>
      </w:r>
      <w:proofErr w:type="gramEnd"/>
      <w:r>
        <w:t xml:space="preserv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w:t>
      </w:r>
      <w:proofErr w:type="gramStart"/>
      <w:r>
        <w:t>The</w:t>
      </w:r>
      <w:proofErr w:type="gramEnd"/>
      <w:r>
        <w:t xml:space="preserv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w:t>
      </w:r>
      <w:proofErr w:type="gramStart"/>
      <w:r>
        <w:t>The</w:t>
      </w:r>
      <w:proofErr w:type="gramEnd"/>
      <w:r>
        <w:t xml:space="preserv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w:t>
      </w:r>
      <w:proofErr w:type="gramStart"/>
      <w:r>
        <w:t>The</w:t>
      </w:r>
      <w:proofErr w:type="gramEnd"/>
      <w:r>
        <w:t xml:space="preserv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w:t>
      </w:r>
      <w:proofErr w:type="gramStart"/>
      <w:r>
        <w:t>to describe</w:t>
      </w:r>
      <w:proofErr w:type="gramEnd"/>
      <w:r>
        <w:t xml:space="preserv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lastRenderedPageBreak/>
        <w:t>Note</w:t>
      </w:r>
    </w:p>
    <w:p w14:paraId="2CB4108A" w14:textId="77777777" w:rsidR="007C77A3" w:rsidRDefault="007C77A3" w:rsidP="007C77A3">
      <w:pPr>
        <w:pStyle w:val="last"/>
      </w:pPr>
      <w:r>
        <w:t xml:space="preserve">This is </w:t>
      </w:r>
      <w:proofErr w:type="gramStart"/>
      <w:r>
        <w:t>the a</w:t>
      </w:r>
      <w:proofErr w:type="gramEnd"/>
      <w:r>
        <w:t xml:space="preserve">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extraction</w:t>
      </w:r>
      <w:r>
        <w:t xml:space="preserve"> </w:t>
      </w:r>
      <w:proofErr w:type="gramStart"/>
      <w:r>
        <w:t>The</w:t>
      </w:r>
      <w:proofErr w:type="gramEnd"/>
      <w:r>
        <w:t xml:space="preserv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w:t>
      </w:r>
      <w:proofErr w:type="gramStart"/>
      <w:r>
        <w:t>slower, and</w:t>
      </w:r>
      <w:proofErr w:type="gramEnd"/>
      <w:r>
        <w:t xml:space="preserve">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w:t>
      </w:r>
      <w:proofErr w:type="gramStart"/>
      <w:r>
        <w:t>The</w:t>
      </w:r>
      <w:proofErr w:type="gramEnd"/>
      <w:r>
        <w:t xml:space="preserv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w:t>
      </w:r>
      <w:proofErr w:type="gramStart"/>
      <w:r>
        <w:t>The</w:t>
      </w:r>
      <w:proofErr w:type="gramEnd"/>
      <w:r>
        <w:t xml:space="preserv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w:t>
      </w:r>
      <w:proofErr w:type="gramStart"/>
      <w:r>
        <w:t>By</w:t>
      </w:r>
      <w:proofErr w:type="gramEnd"/>
      <w:r>
        <w:t xml:space="preserve"> default, the code will collect only a subset of spikes, randomly, on all electrodes. However, for long recordings, or if you have low thresholds, you may want to select them in a smarter manner, in order to avoid missing the large ones, </w:t>
      </w:r>
      <w:proofErr w:type="gramStart"/>
      <w:r>
        <w:t>under represented</w:t>
      </w:r>
      <w:proofErr w:type="gramEnd"/>
      <w:r>
        <w:t>.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w:t>
      </w:r>
      <w:proofErr w:type="gramStart"/>
      <w:r>
        <w:t>electrodes</w:t>
      </w:r>
      <w:proofErr w:type="gramEnd"/>
      <w:r>
        <w:t xml:space="preserve">.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w:t>
      </w:r>
      <w:proofErr w:type="gramStart"/>
      <w:r>
        <w:t>The</w:t>
      </w:r>
      <w:proofErr w:type="gramEnd"/>
      <w:r>
        <w:t xml:space="preserv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w:t>
      </w:r>
      <w:proofErr w:type="gramStart"/>
      <w:r>
        <w:t>By</w:t>
      </w:r>
      <w:proofErr w:type="gramEnd"/>
      <w:r>
        <w:t xml:space="preserve">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xml:space="preserve"># True if amplitudes are adjusted automatically for every </w:t>
      </w:r>
      <w:proofErr w:type="gramStart"/>
      <w:r>
        <w:rPr>
          <w:rStyle w:val="c1"/>
        </w:rPr>
        <w:t>templates</w:t>
      </w:r>
      <w:proofErr w:type="gramEnd"/>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lastRenderedPageBreak/>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ratio_thresh</w:t>
      </w:r>
      <w:proofErr w:type="spellEnd"/>
      <w:r>
        <w:t xml:space="preserve"> If you want to get more spikes for the low </w:t>
      </w:r>
      <w:proofErr w:type="gramStart"/>
      <w:r>
        <w:t>amplitudes</w:t>
      </w:r>
      <w:proofErr w:type="gramEnd"/>
      <w:r>
        <w:t xml:space="preserve">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lastRenderedPageBreak/>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w:t>
      </w:r>
      <w:proofErr w:type="gramStart"/>
      <w:r>
        <w:t>To</w:t>
      </w:r>
      <w:proofErr w:type="gramEnd"/>
      <w:r>
        <w:t xml:space="preserve"> be considered as noisy templates, sparsity level that must be achieved by the templates. Internally, the code sets to 0 channels without any useful information. </w:t>
      </w:r>
      <w:proofErr w:type="gramStart"/>
      <w:r>
        <w:t>So</w:t>
      </w:r>
      <w:proofErr w:type="gramEnd"/>
      <w:r>
        <w:t xml:space="preserve">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w:t>
      </w:r>
      <w:proofErr w:type="gramStart"/>
      <w:r>
        <w:t>To</w:t>
      </w:r>
      <w:proofErr w:type="gramEnd"/>
      <w:r>
        <w:t xml:space="preserve">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w:t>
      </w:r>
      <w:proofErr w:type="gramStart"/>
      <w:r>
        <w:t>high density</w:t>
      </w:r>
      <w:proofErr w:type="gramEnd"/>
      <w:r>
        <w:t xml:space="preserve">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lastRenderedPageBreak/>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B15FF9"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lastRenderedPageBreak/>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 xml:space="preserve">Not </w:t>
      </w:r>
      <w:proofErr w:type="gramStart"/>
      <w:r>
        <w:t>sure..</w:t>
      </w:r>
      <w:proofErr w:type="gramEnd"/>
      <w:r>
        <w:t xml:space="preserv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bookmarkStart w:id="0" w:name="_GoBack"/>
      <w:bookmarkEnd w:id="0"/>
      <w:r>
        <w:t xml:space="preserve"> event types. Too many???</w:t>
      </w:r>
    </w:p>
    <w:p w14:paraId="45EBC140" w14:textId="021937A7" w:rsidR="00DA5C30" w:rsidRDefault="00DA5C30" w:rsidP="00391113">
      <w:r>
        <w:t xml:space="preserve">Add as is for now then test in </w:t>
      </w:r>
      <w:proofErr w:type="spellStart"/>
      <w:r>
        <w:t>plexon</w:t>
      </w:r>
      <w:proofErr w:type="spellEnd"/>
      <w:r>
        <w:t>….</w:t>
      </w:r>
    </w:p>
    <w:sectPr w:rsidR="00DA5C30"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14597"/>
    <w:rsid w:val="00990117"/>
    <w:rsid w:val="00A03BF9"/>
    <w:rsid w:val="00A051C9"/>
    <w:rsid w:val="00A10639"/>
    <w:rsid w:val="00A2727D"/>
    <w:rsid w:val="00A711B2"/>
    <w:rsid w:val="00A9608F"/>
    <w:rsid w:val="00A9675A"/>
    <w:rsid w:val="00AC0A96"/>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21</Pages>
  <Words>5849</Words>
  <Characters>33343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66</cp:revision>
  <dcterms:created xsi:type="dcterms:W3CDTF">2020-01-06T19:39:00Z</dcterms:created>
  <dcterms:modified xsi:type="dcterms:W3CDTF">2020-07-01T23:17:00Z</dcterms:modified>
</cp:coreProperties>
</file>