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779B5F47" w:rsidR="00337C03" w:rsidRDefault="00F86B5B" w:rsidP="00391113">
      <w:r>
        <w:lastRenderedPageBreak/>
        <w:t xml:space="preserve">Algorithm for stim timestamps implemented for </w:t>
      </w:r>
      <w:proofErr w:type="spellStart"/>
      <w:r>
        <w:t>bbn</w:t>
      </w:r>
      <w:proofErr w:type="spellEnd"/>
      <w:r>
        <w:t>, need to duplicate and migrate to subclasses</w:t>
      </w:r>
      <w:bookmarkStart w:id="0" w:name="_GoBack"/>
      <w:bookmarkEnd w:id="0"/>
    </w:p>
    <w:sectPr w:rsidR="00337C03"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9675A"/>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21</Pages>
  <Words>5829</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64</cp:revision>
  <dcterms:created xsi:type="dcterms:W3CDTF">2020-01-06T19:39:00Z</dcterms:created>
  <dcterms:modified xsi:type="dcterms:W3CDTF">2020-07-01T04:08:00Z</dcterms:modified>
</cp:coreProperties>
</file>