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left"/>
      </w:pPr>
      <w:r>
        <w:rPr>
          <w:sz w:val="22"/>
          <w:szCs w:val="22"/>
          <w:rtl w:val="0"/>
          <w:lang w:val="en-US"/>
        </w:rPr>
        <w:t>Web3 Ticketing DApp Report</w:t>
      </w:r>
    </w:p>
    <w:p>
      <w:pPr>
        <w:pStyle w:val="First Paragraph"/>
      </w:pPr>
      <w:r>
        <w:rPr>
          <w:b w:val="1"/>
          <w:bCs w:val="1"/>
          <w:rtl w:val="0"/>
          <w:lang w:val="en-US"/>
        </w:rPr>
        <w:t>Student:</w:t>
      </w:r>
      <w:r>
        <w:rPr>
          <w:rtl w:val="0"/>
          <w:lang w:val="en-US"/>
        </w:rPr>
        <w:t xml:space="preserve"> Daniel Tyutyunkov </w:t>
      </w:r>
      <w:r>
        <w:rPr>
          <w:b w:val="1"/>
          <w:bCs w:val="1"/>
          <w:rtl w:val="0"/>
          <w:lang w:val="en-US"/>
        </w:rPr>
        <w:t>Contract:</w:t>
      </w:r>
      <w:r>
        <w:rPr>
          <w:rtl w:val="0"/>
          <w:lang w:val="en-US"/>
        </w:rPr>
        <w:t xml:space="preserve"> </w:t>
      </w:r>
      <w:r>
        <w:rPr>
          <w:rStyle w:val="Hyperlink.0"/>
        </w:rPr>
        <w:fldChar w:fldCharType="begin" w:fldLock="0"/>
      </w:r>
      <w:r>
        <w:rPr>
          <w:rStyle w:val="Hyperlink.0"/>
        </w:rPr>
        <w:instrText xml:space="preserve"> HYPERLINK "https://sepolia.etherscan.io/address/0x705D6c204a755e51b517bBA9124e3F23Dc9F88C2"</w:instrText>
      </w:r>
      <w:r>
        <w:rPr>
          <w:rStyle w:val="Hyperlink.0"/>
        </w:rPr>
        <w:fldChar w:fldCharType="separate" w:fldLock="0"/>
      </w:r>
      <w:r>
        <w:rPr>
          <w:rStyle w:val="Hyperlink.0"/>
          <w:rtl w:val="0"/>
        </w:rPr>
        <w:t>0x705D6c204a755e51b517bBA9124e3F23Dc9F88C2</w:t>
      </w:r>
      <w:r>
        <w:rPr/>
        <w:fldChar w:fldCharType="end" w:fldLock="0"/>
      </w:r>
      <w:r>
        <w:br w:type="textWrapping"/>
      </w:r>
      <w:r>
        <w:rPr>
          <w:b w:val="1"/>
          <w:bCs w:val="1"/>
          <w:rtl w:val="0"/>
          <w:lang w:val="en-US"/>
        </w:rPr>
        <w:t>Network:</w:t>
      </w:r>
      <w:r>
        <w:rPr>
          <w:rtl w:val="0"/>
          <w:lang w:val="en-US"/>
        </w:rPr>
        <w:t xml:space="preserve"> Ethereum Sepolia Testnet</w:t>
      </w:r>
      <w:r>
        <w:br w:type="textWrapping"/>
      </w:r>
      <w:r>
        <w:rPr>
          <w:b w:val="1"/>
          <w:bCs w:val="1"/>
          <w:rtl w:val="0"/>
          <w:lang w:val="en-US"/>
        </w:rPr>
        <w:t>Date:</w:t>
      </w:r>
      <w:r>
        <w:rPr>
          <w:rtl w:val="0"/>
          <w:lang w:val="en-US"/>
        </w:rPr>
        <w:t xml:space="preserve"> May 2026</w:t>
      </w:r>
    </w:p>
    <w:p>
      <w:pPr>
        <w:pStyle w:val="Heading 2"/>
      </w:pPr>
      <w:bookmarkStart w:name="projectoverview" w:id="0"/>
      <w:r>
        <w:rPr>
          <w:rFonts w:cs="Arial Unicode MS" w:eastAsia="Arial Unicode MS"/>
          <w:sz w:val="22"/>
          <w:szCs w:val="22"/>
          <w:rtl w:val="0"/>
          <w:lang w:val="en-US"/>
        </w:rPr>
        <w:t>1. Project Overview</w:t>
      </w:r>
    </w:p>
    <w:p>
      <w:pPr>
        <w:pStyle w:val="First Paragraph"/>
      </w:pPr>
      <w:r>
        <w:rPr>
          <w:rtl w:val="0"/>
          <w:lang w:val="en-US"/>
        </w:rPr>
        <w:t>This project is a Web3 ticketing DApp for a single event. A user can create a wallet, buy one ERC-20 ticket with Sepolia ETH, check ticket status, and transfer the ticket back to the venue operator. The contract holds the sale logic and ticket token rules, while the frontend keeps the flow simple enough to run from a browser.</w:t>
      </w:r>
    </w:p>
    <w:p>
      <w:pPr>
        <w:pStyle w:val="Body Text"/>
      </w:pPr>
      <w:r>
        <w:rPr>
          <w:rtl w:val="0"/>
          <w:lang w:val="en-US"/>
        </w:rPr>
        <w:t>The stack is Ethereum Sepolia, Solidity 0.8.20, web3.js 1.10.4, and plain HTML/CSS/JavaScript served through VS Code Live Server. It uses a keystore-based wallet flow rather than MetaMask because that matches the course tutorial pattern and fits the create-wallet to buy loop the system is designed around.</w:t>
      </w:r>
      <w:bookmarkEnd w:id="0"/>
    </w:p>
    <w:p>
      <w:pPr>
        <w:pStyle w:val="Heading 2"/>
      </w:pPr>
      <w:bookmarkStart w:name="contractarchitecturev1tov4" w:id="1"/>
      <w:r>
        <w:rPr>
          <w:rFonts w:cs="Arial Unicode MS" w:eastAsia="Arial Unicode MS"/>
          <w:sz w:val="22"/>
          <w:szCs w:val="22"/>
          <w:rtl w:val="0"/>
          <w:lang w:val="en-US"/>
        </w:rPr>
        <w:t xml:space="preserve">2. Contract Architecture </w:t>
      </w:r>
      <w:r>
        <w:rPr>
          <w:rFonts w:cs="Arial Unicode MS" w:eastAsia="Arial Unicode MS" w:hint="default"/>
          <w:sz w:val="22"/>
          <w:szCs w:val="22"/>
          <w:rtl w:val="0"/>
          <w:lang w:val="en-US"/>
        </w:rPr>
        <w:t xml:space="preserve">— </w:t>
      </w:r>
      <w:r>
        <w:rPr>
          <w:rFonts w:cs="Arial Unicode MS" w:eastAsia="Arial Unicode MS"/>
          <w:sz w:val="22"/>
          <w:szCs w:val="22"/>
          <w:rtl w:val="0"/>
          <w:lang w:val="en-US"/>
        </w:rPr>
        <w:t>V1 to V4</w:t>
      </w:r>
    </w:p>
    <w:p>
      <w:pPr>
        <w:pStyle w:val="First Paragraph"/>
      </w:pPr>
      <w:r>
        <w:rPr>
          <w:rtl w:val="0"/>
          <w:lang w:val="en-US"/>
        </w:rPr>
        <w:t>V1 was the base ERC-20 skeleton. It minted the full supply to the deployer in the constructor and was used as a test deployment to confirm the base token logic before extending it. I did not preserve the address because the point of this version was only to prove that the ERC-20 structure worked before adding sale logic.</w:t>
      </w:r>
    </w:p>
    <w:p>
      <w:pPr>
        <w:pStyle w:val="Body Text"/>
      </w:pPr>
      <w:r>
        <w:rPr>
          <w:rtl w:val="0"/>
          <w:lang w:val="en-US"/>
        </w:rPr>
        <w:t xml:space="preserve">V2 was a gas optimisation pass. I added </w:t>
      </w:r>
      <w:r>
        <w:rPr>
          <w:rFonts w:ascii="Consolas" w:cs="Consolas" w:hAnsi="Consolas" w:eastAsia="Consolas"/>
          <w:rtl w:val="0"/>
          <w:lang w:val="en-US"/>
        </w:rPr>
        <w:t>immutable</w:t>
      </w:r>
      <w:r>
        <w:rPr>
          <w:rtl w:val="0"/>
          <w:lang w:val="en-US"/>
        </w:rPr>
        <w:t xml:space="preserve"> to </w:t>
      </w:r>
      <w:r>
        <w:rPr>
          <w:rFonts w:ascii="Consolas" w:cs="Consolas" w:hAnsi="Consolas" w:eastAsia="Consolas"/>
          <w:rtl w:val="0"/>
          <w:lang w:val="en-US"/>
        </w:rPr>
        <w:t>decimals</w:t>
      </w:r>
      <w:r>
        <w:rPr>
          <w:rtl w:val="0"/>
          <w:lang w:val="en-US"/>
        </w:rPr>
        <w:t xml:space="preserve"> and </w:t>
      </w:r>
      <w:r>
        <w:rPr>
          <w:rFonts w:ascii="Consolas" w:cs="Consolas" w:hAnsi="Consolas" w:eastAsia="Consolas"/>
          <w:rtl w:val="0"/>
          <w:lang w:val="en-US"/>
        </w:rPr>
        <w:t>_totalSupply</w:t>
      </w:r>
      <w:r>
        <w:rPr>
          <w:rtl w:val="0"/>
          <w:lang w:val="en-US"/>
        </w:rPr>
        <w:t xml:space="preserve">, which saves about 2,100 gas per read by baking those values into bytecode instead of reading from storage. I also removed the dead </w:t>
      </w:r>
      <w:r>
        <w:rPr>
          <w:rFonts w:ascii="Consolas" w:cs="Consolas" w:hAnsi="Consolas" w:eastAsia="Consolas"/>
          <w:rtl w:val="0"/>
          <w:lang w:val="en-US"/>
        </w:rPr>
        <w:t>msg.sender != address(0)</w:t>
      </w:r>
      <w:r>
        <w:rPr>
          <w:rtl w:val="0"/>
          <w:lang w:val="en-US"/>
        </w:rPr>
        <w:t xml:space="preserve"> check in </w:t>
      </w:r>
      <w:r>
        <w:rPr>
          <w:rFonts w:ascii="Consolas" w:cs="Consolas" w:hAnsi="Consolas" w:eastAsia="Consolas"/>
          <w:rtl w:val="0"/>
          <w:lang w:val="en-US"/>
        </w:rPr>
        <w:t>approve</w:t>
      </w:r>
      <w:r>
        <w:rPr>
          <w:rtl w:val="0"/>
          <w:lang w:val="en-US"/>
        </w:rPr>
        <w:t xml:space="preserve">, because </w:t>
      </w:r>
      <w:r>
        <w:rPr>
          <w:rFonts w:ascii="Consolas" w:cs="Consolas" w:hAnsi="Consolas" w:eastAsia="Consolas"/>
          <w:rtl w:val="0"/>
          <w:lang w:val="en-US"/>
        </w:rPr>
        <w:t>msg.sender</w:t>
      </w:r>
      <w:r>
        <w:rPr>
          <w:rtl w:val="0"/>
          <w:lang w:val="en-US"/>
        </w:rPr>
        <w:t xml:space="preserve"> can never be the zero address; the EVM does not permit zero-address signed transactions.</w:t>
      </w:r>
    </w:p>
    <w:p>
      <w:pPr>
        <w:pStyle w:val="Body Text"/>
      </w:pPr>
      <w:r>
        <w:rPr>
          <w:rtl w:val="0"/>
          <w:lang w:val="en-US"/>
        </w:rPr>
        <w:t xml:space="preserve">V3 added payable </w:t>
      </w:r>
      <w:r>
        <w:rPr>
          <w:rFonts w:ascii="Consolas" w:cs="Consolas" w:hAnsi="Consolas" w:eastAsia="Consolas"/>
          <w:rtl w:val="0"/>
          <w:lang w:val="en-US"/>
        </w:rPr>
        <w:t>buyTicket()</w:t>
      </w:r>
      <w:r>
        <w:rPr>
          <w:rtl w:val="0"/>
          <w:lang w:val="en-US"/>
        </w:rPr>
        <w:t>. Tickets stay in the deployer</w:t>
      </w:r>
      <w:r>
        <w:rPr>
          <w:rtl w:val="0"/>
          <w:lang w:val="en-US"/>
        </w:rPr>
        <w:t>’</w:t>
      </w:r>
      <w:r>
        <w:rPr>
          <w:rtl w:val="0"/>
          <w:lang w:val="en-US"/>
        </w:rPr>
        <w:t xml:space="preserve">s wallet, and the contract operates through a one-time </w:t>
      </w:r>
      <w:r>
        <w:rPr>
          <w:rFonts w:ascii="Consolas" w:cs="Consolas" w:hAnsi="Consolas" w:eastAsia="Consolas"/>
          <w:rtl w:val="0"/>
          <w:lang w:val="en-US"/>
        </w:rPr>
        <w:t>approve(contract, fullSupply)</w:t>
      </w:r>
      <w:r>
        <w:rPr>
          <w:rtl w:val="0"/>
          <w:lang w:val="en-US"/>
        </w:rPr>
        <w:t xml:space="preserve"> call after deployment. I chose inline allowance manipulation instead of </w:t>
      </w:r>
      <w:r>
        <w:rPr>
          <w:rFonts w:ascii="Consolas" w:cs="Consolas" w:hAnsi="Consolas" w:eastAsia="Consolas"/>
          <w:rtl w:val="0"/>
          <w:lang w:val="en-US"/>
        </w:rPr>
        <w:t>this.transferFrom()</w:t>
      </w:r>
      <w:r>
        <w:rPr>
          <w:rtl w:val="0"/>
          <w:lang w:val="en-US"/>
        </w:rPr>
        <w:t xml:space="preserve"> for two reasons: it saves ~2,600 gas by avoiding external </w:t>
      </w:r>
      <w:r>
        <w:rPr>
          <w:rFonts w:ascii="Consolas" w:cs="Consolas" w:hAnsi="Consolas" w:eastAsia="Consolas"/>
          <w:rtl w:val="0"/>
          <w:lang w:val="en-US"/>
        </w:rPr>
        <w:t>CALL</w:t>
      </w:r>
      <w:r>
        <w:rPr>
          <w:rtl w:val="0"/>
          <w:lang w:val="en-US"/>
        </w:rPr>
        <w:t xml:space="preserve"> overhead, and </w:t>
      </w:r>
      <w:r>
        <w:rPr>
          <w:rFonts w:ascii="Consolas" w:cs="Consolas" w:hAnsi="Consolas" w:eastAsia="Consolas"/>
          <w:rtl w:val="0"/>
          <w:lang w:val="en-US"/>
        </w:rPr>
        <w:t>this.foo()</w:t>
      </w:r>
      <w:r>
        <w:rPr>
          <w:rtl w:val="0"/>
          <w:lang w:val="en-US"/>
        </w:rPr>
        <w:t xml:space="preserve"> on your own contract reads as a code smell. The function follows CEI ordering: check </w:t>
      </w:r>
      <w:r>
        <w:rPr>
          <w:rFonts w:ascii="Consolas" w:cs="Consolas" w:hAnsi="Consolas" w:eastAsia="Consolas"/>
          <w:rtl w:val="0"/>
          <w:lang w:val="en-US"/>
        </w:rPr>
        <w:t>msg.value</w:t>
      </w:r>
      <w:r>
        <w:rPr>
          <w:rtl w:val="0"/>
          <w:lang w:val="en-US"/>
        </w:rPr>
        <w:t>, check and decrement allowance, then transfer the ticket.</w:t>
      </w:r>
    </w:p>
    <w:p>
      <w:pPr>
        <w:pStyle w:val="Body Text"/>
      </w:pPr>
      <w:r>
        <w:rPr>
          <w:rtl w:val="0"/>
          <w:lang w:val="en-US"/>
        </w:rPr>
        <w:t xml:space="preserve">V4 added </w:t>
      </w:r>
      <w:r>
        <w:rPr>
          <w:rFonts w:ascii="Consolas" w:cs="Consolas" w:hAnsi="Consolas" w:eastAsia="Consolas"/>
          <w:rtl w:val="0"/>
          <w:lang w:val="en-US"/>
        </w:rPr>
        <w:t>withdraw()</w:t>
      </w:r>
      <w:r>
        <w:rPr>
          <w:rtl w:val="0"/>
          <w:lang w:val="en-US"/>
        </w:rPr>
        <w:t xml:space="preserve"> and a manual </w:t>
      </w:r>
      <w:r>
        <w:rPr>
          <w:rFonts w:ascii="Consolas" w:cs="Consolas" w:hAnsi="Consolas" w:eastAsia="Consolas"/>
          <w:rtl w:val="0"/>
          <w:lang w:val="en-US"/>
        </w:rPr>
        <w:t>nonReentrant</w:t>
      </w:r>
      <w:r>
        <w:rPr>
          <w:rtl w:val="0"/>
          <w:lang w:val="en-US"/>
        </w:rPr>
        <w:t xml:space="preserve"> guard. </w:t>
      </w:r>
      <w:r>
        <w:rPr>
          <w:rFonts w:ascii="Consolas" w:cs="Consolas" w:hAnsi="Consolas" w:eastAsia="Consolas"/>
          <w:rtl w:val="0"/>
          <w:lang w:val="en-US"/>
        </w:rPr>
        <w:t>withdraw()</w:t>
      </w:r>
      <w:r>
        <w:rPr>
          <w:rtl w:val="0"/>
          <w:lang w:val="en-US"/>
        </w:rPr>
        <w:t xml:space="preserve"> uses </w:t>
      </w:r>
      <w:r>
        <w:rPr>
          <w:rFonts w:ascii="Consolas" w:cs="Consolas" w:hAnsi="Consolas" w:eastAsia="Consolas"/>
          <w:rtl w:val="0"/>
          <w:lang w:val="en-US"/>
        </w:rPr>
        <w:t>.call{value: balance}("")</w:t>
      </w:r>
      <w:r>
        <w:rPr>
          <w:rtl w:val="0"/>
          <w:lang w:val="en-US"/>
        </w:rPr>
        <w:t xml:space="preserve"> instead of </w:t>
      </w:r>
      <w:r>
        <w:rPr>
          <w:rFonts w:ascii="Consolas" w:cs="Consolas" w:hAnsi="Consolas" w:eastAsia="Consolas"/>
          <w:rtl w:val="0"/>
          <w:lang w:val="en-US"/>
        </w:rPr>
        <w:t>.transfer()</w:t>
      </w:r>
      <w:r>
        <w:rPr>
          <w:rtl w:val="0"/>
          <w:lang w:val="en-US"/>
        </w:rPr>
        <w:t xml:space="preserve"> to avoid the 2300 gas cap that can break smart-contract wallets. The reentrancy guard uses </w:t>
      </w:r>
      <w:r>
        <w:rPr>
          <w:rFonts w:ascii="Consolas" w:cs="Consolas" w:hAnsi="Consolas" w:eastAsia="Consolas"/>
          <w:rtl w:val="0"/>
          <w:lang w:val="en-US"/>
        </w:rPr>
        <w:t>NOT_ENTERED = 1</w:t>
      </w:r>
      <w:r>
        <w:rPr>
          <w:rtl w:val="0"/>
          <w:lang w:val="en-US"/>
        </w:rPr>
        <w:t xml:space="preserve"> and </w:t>
      </w:r>
      <w:r>
        <w:rPr>
          <w:rFonts w:ascii="Consolas" w:cs="Consolas" w:hAnsi="Consolas" w:eastAsia="Consolas"/>
          <w:rtl w:val="0"/>
          <w:lang w:val="en-US"/>
        </w:rPr>
        <w:t>ENTERED = 2</w:t>
      </w:r>
      <w:r>
        <w:rPr>
          <w:rtl w:val="0"/>
          <w:lang w:val="en-US"/>
        </w:rPr>
        <w:t xml:space="preserve"> instead of a 0/1 pattern, because warm </w:t>
      </w:r>
      <w:r>
        <w:rPr>
          <w:rFonts w:ascii="Consolas" w:cs="Consolas" w:hAnsi="Consolas" w:eastAsia="Consolas"/>
          <w:rtl w:val="0"/>
          <w:lang w:val="en-US"/>
        </w:rPr>
        <w:t>SSTORE</w:t>
      </w:r>
      <w:r>
        <w:rPr>
          <w:rtl w:val="0"/>
          <w:lang w:val="en-US"/>
        </w:rPr>
        <w:t xml:space="preserve"> costs 5k gas rather than 20k, making every guarded call cheaper. I applied the guard to both </w:t>
      </w:r>
      <w:r>
        <w:rPr>
          <w:rFonts w:ascii="Consolas" w:cs="Consolas" w:hAnsi="Consolas" w:eastAsia="Consolas"/>
          <w:rtl w:val="0"/>
          <w:lang w:val="en-US"/>
        </w:rPr>
        <w:t>buyTicket()</w:t>
      </w:r>
      <w:r>
        <w:rPr>
          <w:rtl w:val="0"/>
          <w:lang w:val="en-US"/>
        </w:rPr>
        <w:t xml:space="preserve"> as defence-in-depth and </w:t>
      </w:r>
      <w:r>
        <w:rPr>
          <w:rFonts w:ascii="Consolas" w:cs="Consolas" w:hAnsi="Consolas" w:eastAsia="Consolas"/>
          <w:rtl w:val="0"/>
          <w:lang w:val="en-US"/>
        </w:rPr>
        <w:t>withdraw()</w:t>
      </w:r>
      <w:r>
        <w:rPr>
          <w:rtl w:val="0"/>
          <w:lang w:val="en-US"/>
        </w:rPr>
        <w:t xml:space="preserve"> as the actual reentrancy vector.</w:t>
      </w:r>
      <w:bookmarkEnd w:id="1"/>
    </w:p>
    <w:p>
      <w:pPr>
        <w:pStyle w:val="Heading 2"/>
      </w:pPr>
      <w:bookmarkStart w:name="frontendarchitecture" w:id="2"/>
      <w:r>
        <w:rPr>
          <w:rFonts w:cs="Arial Unicode MS" w:eastAsia="Arial Unicode MS"/>
          <w:sz w:val="22"/>
          <w:szCs w:val="22"/>
          <w:rtl w:val="0"/>
          <w:lang w:val="fr-FR"/>
        </w:rPr>
        <w:t>3. Frontend Architecture</w:t>
      </w:r>
    </w:p>
    <w:p>
      <w:pPr>
        <w:pStyle w:val="First Paragraph"/>
      </w:pPr>
      <w:r>
        <w:rPr>
          <w:rtl w:val="0"/>
          <w:lang w:val="en-US"/>
        </w:rPr>
        <w:t>The create-wallet page follows Andy Legear</w:t>
      </w:r>
      <w:r>
        <w:rPr>
          <w:rtl w:val="0"/>
          <w:lang w:val="en-US"/>
        </w:rPr>
        <w:t>’</w:t>
      </w:r>
      <w:r>
        <w:rPr>
          <w:rtl w:val="0"/>
          <w:lang w:val="en-US"/>
        </w:rPr>
        <w:t xml:space="preserve">s createWallet tutorial pattern. It uses </w:t>
      </w:r>
      <w:r>
        <w:rPr>
          <w:rFonts w:ascii="Consolas" w:cs="Consolas" w:hAnsi="Consolas" w:eastAsia="Consolas"/>
          <w:rtl w:val="0"/>
          <w:lang w:val="en-US"/>
        </w:rPr>
        <w:t>web3.eth.accounts.create()</w:t>
      </w:r>
      <w:r>
        <w:rPr>
          <w:rtl w:val="0"/>
          <w:lang w:val="en-US"/>
        </w:rPr>
        <w:t xml:space="preserve"> and </w:t>
      </w:r>
      <w:r>
        <w:rPr>
          <w:rFonts w:ascii="Consolas" w:cs="Consolas" w:hAnsi="Consolas" w:eastAsia="Consolas"/>
          <w:rtl w:val="0"/>
          <w:lang w:val="en-US"/>
        </w:rPr>
        <w:t>encrypt()</w:t>
      </w:r>
      <w:r>
        <w:rPr>
          <w:rtl w:val="0"/>
          <w:lang w:val="en-US"/>
        </w:rPr>
        <w:t xml:space="preserve"> to generate a wallet and produce a downloadable keystore JSON. The private key is hidden behind a reveal toggle rather than being shown automatically, because the safest default is to keep it out of sight unless the user asks for it. The downloaded filename includes the address prefix and a timestamp. The page is pinned to </w:t>
      </w:r>
      <w:r>
        <w:rPr>
          <w:rFonts w:ascii="Consolas" w:cs="Consolas" w:hAnsi="Consolas" w:eastAsia="Consolas"/>
          <w:rtl w:val="0"/>
          <w:lang w:val="en-US"/>
        </w:rPr>
        <w:t>web3@1.10.4</w:t>
      </w:r>
      <w:r>
        <w:rPr>
          <w:rtl w:val="0"/>
          <w:lang w:val="en-US"/>
        </w:rPr>
        <w:t xml:space="preserve"> instead of tracking the latest CDN build, which keeps the tutorial behaviour stable.</w:t>
      </w:r>
    </w:p>
    <w:p>
      <w:pPr>
        <w:pStyle w:val="Body Text"/>
      </w:pPr>
      <w:r>
        <w:rPr>
          <w:rtl w:val="0"/>
          <w:lang w:val="en-US"/>
        </w:rPr>
        <w:t xml:space="preserve">The balance page has three role-distinct views rather than one generic balance screen. The attendee view gives plain prose, such as </w:t>
      </w:r>
      <w:r>
        <w:rPr>
          <w:rtl w:val="0"/>
          <w:lang w:val="en-US"/>
        </w:rPr>
        <w:t>“</w:t>
      </w:r>
      <w:r>
        <w:rPr>
          <w:rtl w:val="0"/>
          <w:lang w:val="en-US"/>
        </w:rPr>
        <w:t>you hold N tickets</w:t>
      </w:r>
      <w:r>
        <w:rPr>
          <w:rtl w:val="0"/>
          <w:lang w:val="en-US"/>
        </w:rPr>
        <w:t>”</w:t>
      </w:r>
      <w:r>
        <w:rPr>
          <w:rtl w:val="0"/>
          <w:lang w:val="en-US"/>
        </w:rPr>
        <w:t xml:space="preserve">, because that is the information an attendee needs. The doorman view returns a binary pass/fail badge and does not show a numeric balance, because a doorman needs a fast yes/no at the door, not token accounting. The venue view shows a 2x2 stats grid reading </w:t>
      </w:r>
      <w:r>
        <w:rPr>
          <w:rFonts w:ascii="Consolas" w:cs="Consolas" w:hAnsi="Consolas" w:eastAsia="Consolas"/>
          <w:rtl w:val="0"/>
          <w:lang w:val="en-US"/>
        </w:rPr>
        <w:t>totalSupply</w:t>
      </w:r>
      <w:r>
        <w:rPr>
          <w:rtl w:val="0"/>
          <w:lang w:val="en-US"/>
        </w:rPr>
        <w:t xml:space="preserve">, deployer balance, and </w:t>
      </w:r>
      <w:r>
        <w:rPr>
          <w:rFonts w:ascii="Consolas" w:cs="Consolas" w:hAnsi="Consolas" w:eastAsia="Consolas"/>
          <w:rtl w:val="0"/>
          <w:lang w:val="en-US"/>
        </w:rPr>
        <w:t>web3.eth.getBalance(contractAddress)</w:t>
      </w:r>
      <w:r>
        <w:rPr>
          <w:rtl w:val="0"/>
          <w:lang w:val="en-US"/>
        </w:rPr>
        <w:t xml:space="preserve"> for accumulated revenue. It uses </w:t>
      </w:r>
      <w:r>
        <w:rPr>
          <w:rFonts w:ascii="Consolas" w:cs="Consolas" w:hAnsi="Consolas" w:eastAsia="Consolas"/>
          <w:rtl w:val="0"/>
          <w:lang w:val="en-US"/>
        </w:rPr>
        <w:t>Promise.all</w:t>
      </w:r>
      <w:r>
        <w:rPr>
          <w:rtl w:val="0"/>
          <w:lang w:val="en-US"/>
        </w:rPr>
        <w:t xml:space="preserve"> so the chain reads happen in parallel rather than one after another.</w:t>
      </w:r>
    </w:p>
    <w:p>
      <w:pPr>
        <w:pStyle w:val="Body Text"/>
      </w:pPr>
      <w:r>
        <w:rPr>
          <w:rtl w:val="0"/>
          <w:lang w:val="en-US"/>
        </w:rPr>
        <w:t xml:space="preserve">The buy page is built around a six-state flow: idle, unlocking, unlocked, estimating, pending, and success/error. The keystore is uploaded through a file input rather than pasted into a textarea, which matches the download flow from the create-wallet page. Once decrypted, the unlocked account stays in memory while the page is open. That avoids repeated slow scrypt decrypts, but it means the private key is present in JavaScript memory during the session. The page also warns on </w:t>
      </w:r>
      <w:r>
        <w:rPr>
          <w:rFonts w:ascii="Consolas" w:cs="Consolas" w:hAnsi="Consolas" w:eastAsia="Consolas"/>
          <w:rtl w:val="0"/>
          <w:lang w:val="en-US"/>
        </w:rPr>
        <w:t>beforeunload</w:t>
      </w:r>
      <w:r>
        <w:rPr>
          <w:rtl w:val="0"/>
          <w:lang w:val="en-US"/>
        </w:rPr>
        <w:t xml:space="preserve"> while a transaction is pending.</w:t>
      </w:r>
    </w:p>
    <w:p>
      <w:pPr>
        <w:pStyle w:val="Body Text"/>
      </w:pPr>
      <w:r>
        <w:rPr>
          <w:rtl w:val="0"/>
          <w:lang w:val="en-US"/>
        </w:rPr>
        <w:t xml:space="preserve">The transfer page uses the same keystore unlock pattern as the buy page. The vendor address is </w:t>
      </w:r>
      <w:r>
        <w:rPr>
          <w:rFonts w:ascii="Consolas" w:cs="Consolas" w:hAnsi="Consolas" w:eastAsia="Consolas"/>
          <w:rtl w:val="0"/>
          <w:lang w:val="en-US"/>
        </w:rPr>
        <w:t>DEPLOYER_ADDRESS</w:t>
      </w:r>
      <w:r>
        <w:rPr>
          <w:rtl w:val="0"/>
          <w:lang w:val="en-US"/>
        </w:rPr>
        <w:t xml:space="preserve"> from </w:t>
      </w:r>
      <w:r>
        <w:rPr>
          <w:rFonts w:ascii="Consolas" w:cs="Consolas" w:hAnsi="Consolas" w:eastAsia="Consolas"/>
          <w:rtl w:val="0"/>
          <w:lang w:val="en-US"/>
        </w:rPr>
        <w:t>config.js</w:t>
      </w:r>
      <w:r>
        <w:rPr>
          <w:rtl w:val="0"/>
          <w:lang w:val="en-US"/>
        </w:rPr>
        <w:t>, so it is hardcoded and not editable by the user. That removes a common error path: the return flow should always send the ticket back to the venue operator. The amount is fixed to one ticket, and the code performs a defensive check before signing even though the button is disabled until the form is valid. It is a belt and braces check because transaction signing is where mistakes become expensive.</w:t>
      </w:r>
      <w:bookmarkEnd w:id="2"/>
    </w:p>
    <w:p>
      <w:pPr>
        <w:pStyle w:val="Heading 2"/>
      </w:pPr>
      <w:bookmarkStart w:name="designdecisionsandtradeoffs" w:id="3"/>
      <w:r>
        <w:rPr>
          <w:rFonts w:cs="Arial Unicode MS" w:eastAsia="Arial Unicode MS"/>
          <w:sz w:val="22"/>
          <w:szCs w:val="22"/>
          <w:rtl w:val="0"/>
          <w:lang w:val="en-US"/>
        </w:rPr>
        <w:t>4. Design Decisions and Trade-offs</w:t>
      </w:r>
    </w:p>
    <w:p>
      <w:pPr>
        <w:pStyle w:val="First Paragraph"/>
      </w:pPr>
      <w:r>
        <w:rPr>
          <w:rFonts w:ascii="Consolas" w:cs="Consolas" w:hAnsi="Consolas" w:eastAsia="Consolas"/>
          <w:rtl w:val="0"/>
          <w:lang w:val="en-US"/>
        </w:rPr>
        <w:t>DEPLOYER_ADDRESS</w:t>
      </w:r>
      <w:r>
        <w:rPr>
          <w:rtl w:val="0"/>
          <w:lang w:val="en-US"/>
        </w:rPr>
        <w:t xml:space="preserve"> is hardcoded in </w:t>
      </w:r>
      <w:r>
        <w:rPr>
          <w:rFonts w:ascii="Consolas" w:cs="Consolas" w:hAnsi="Consolas" w:eastAsia="Consolas"/>
          <w:rtl w:val="0"/>
          <w:lang w:val="en-US"/>
        </w:rPr>
        <w:t>config.js</w:t>
      </w:r>
      <w:r>
        <w:rPr>
          <w:rtl w:val="0"/>
          <w:lang w:val="en-US"/>
        </w:rPr>
        <w:t xml:space="preserve"> because the contract stores </w:t>
      </w:r>
      <w:r>
        <w:rPr>
          <w:rFonts w:ascii="Consolas" w:cs="Consolas" w:hAnsi="Consolas" w:eastAsia="Consolas"/>
          <w:rtl w:val="0"/>
          <w:lang w:val="en-US"/>
        </w:rPr>
        <w:t>_deployer</w:t>
      </w:r>
      <w:r>
        <w:rPr>
          <w:rtl w:val="0"/>
          <w:lang w:val="en-US"/>
        </w:rPr>
        <w:t xml:space="preserve"> as a private immutable and does not expose a public getter. Ideally the contract would include </w:t>
      </w:r>
      <w:r>
        <w:rPr>
          <w:rFonts w:ascii="Consolas" w:cs="Consolas" w:hAnsi="Consolas" w:eastAsia="Consolas"/>
          <w:rtl w:val="0"/>
          <w:lang w:val="en-US"/>
        </w:rPr>
        <w:t>deployer()</w:t>
      </w:r>
      <w:r>
        <w:rPr>
          <w:rtl w:val="0"/>
          <w:lang w:val="en-US"/>
        </w:rPr>
        <w:t xml:space="preserve"> and the frontend would read it from chain. I decided not to add that in V4 because it would require a V5 redeploy and full re-setup, including approval and test transactions. The limitation is documented in the </w:t>
      </w:r>
      <w:r>
        <w:rPr>
          <w:rFonts w:ascii="Consolas" w:cs="Consolas" w:hAnsi="Consolas" w:eastAsia="Consolas"/>
          <w:rtl w:val="0"/>
          <w:lang w:val="en-US"/>
        </w:rPr>
        <w:t>config.js</w:t>
      </w:r>
      <w:r>
        <w:rPr>
          <w:rtl w:val="0"/>
          <w:lang w:val="en-US"/>
        </w:rPr>
        <w:t xml:space="preserve"> comments.</w:t>
      </w:r>
    </w:p>
    <w:p>
      <w:pPr>
        <w:pStyle w:val="Body Text"/>
      </w:pPr>
      <w:r>
        <w:rPr>
          <w:rtl w:val="0"/>
          <w:lang w:val="en-US"/>
        </w:rPr>
        <w:t>Tickets stay in the deployer</w:t>
      </w:r>
      <w:r>
        <w:rPr>
          <w:rtl w:val="0"/>
          <w:lang w:val="en-US"/>
        </w:rPr>
        <w:t>’</w:t>
      </w:r>
      <w:r>
        <w:rPr>
          <w:rtl w:val="0"/>
          <w:lang w:val="en-US"/>
        </w:rPr>
        <w:t>s wallet rather than being transferred into the contract at deployment. The alternative was to make the contract hold the supply and sell from its own balance. I chose the deployer-holds model because ownership is clearer: the deployer</w:t>
      </w:r>
      <w:r>
        <w:rPr>
          <w:rtl w:val="0"/>
          <w:lang w:val="en-US"/>
        </w:rPr>
        <w:t>’</w:t>
      </w:r>
      <w:r>
        <w:rPr>
          <w:rtl w:val="0"/>
          <w:lang w:val="en-US"/>
        </w:rPr>
        <w:t>s MetaMask always shows the real ticket inventory. It also uses ERC-20 allowance, the standard mechanism when one account authorises another address to spend tokens.</w:t>
      </w:r>
    </w:p>
    <w:p>
      <w:pPr>
        <w:pStyle w:val="Body Text"/>
      </w:pPr>
      <w:r>
        <w:rPr>
          <w:rtl w:val="0"/>
          <w:lang w:val="en-US"/>
        </w:rPr>
        <w:t xml:space="preserve">I used a manual </w:t>
      </w:r>
      <w:r>
        <w:rPr>
          <w:rFonts w:ascii="Consolas" w:cs="Consolas" w:hAnsi="Consolas" w:eastAsia="Consolas"/>
          <w:rtl w:val="0"/>
          <w:lang w:val="en-US"/>
        </w:rPr>
        <w:t>nonReentrant</w:t>
      </w:r>
      <w:r>
        <w:rPr>
          <w:rtl w:val="0"/>
          <w:lang w:val="en-US"/>
        </w:rPr>
        <w:t xml:space="preserve"> guard instead of importing OpenZeppelin</w:t>
      </w:r>
      <w:r>
        <w:rPr>
          <w:rtl w:val="0"/>
          <w:lang w:val="en-US"/>
        </w:rPr>
        <w:t>’</w:t>
      </w:r>
      <w:r>
        <w:rPr>
          <w:rtl w:val="0"/>
          <w:lang w:val="en-US"/>
        </w:rPr>
        <w:t xml:space="preserve">s </w:t>
      </w:r>
      <w:r>
        <w:rPr>
          <w:rFonts w:ascii="Consolas" w:cs="Consolas" w:hAnsi="Consolas" w:eastAsia="Consolas"/>
          <w:rtl w:val="0"/>
          <w:lang w:val="en-US"/>
        </w:rPr>
        <w:t>ReentrancyGuard</w:t>
      </w:r>
      <w:r>
        <w:rPr>
          <w:rtl w:val="0"/>
          <w:lang w:val="en-US"/>
        </w:rPr>
        <w:t>. OpenZeppelin would work, but importing it for one modifier adds dependency overhead and makes the contract footprint larger than this project needs. The manual implementation with warm-slot constants is well-understood and auditable in about 10 lines.</w:t>
      </w:r>
    </w:p>
    <w:p>
      <w:pPr>
        <w:pStyle w:val="Body Text"/>
      </w:pPr>
      <w:r>
        <w:rPr>
          <w:rtl w:val="0"/>
          <w:lang w:val="en-US"/>
        </w:rPr>
        <w:t>MetaMask would be more user-friendly than keystore authentication. I chose keystore auth because it matches the course tutorial pattern from Andy Legear</w:t>
      </w:r>
      <w:r>
        <w:rPr>
          <w:rtl w:val="0"/>
          <w:lang w:val="en-US"/>
        </w:rPr>
        <w:t>’</w:t>
      </w:r>
      <w:r>
        <w:rPr>
          <w:rtl w:val="0"/>
          <w:lang w:val="en-US"/>
        </w:rPr>
        <w:t>s web3examples, creates a coherent create-wallet to buy to transfer loop, and demonstrates the key management mechanics that MetaMask hides from the user.</w:t>
      </w:r>
    </w:p>
    <w:p>
      <w:pPr>
        <w:pStyle w:val="Body Text"/>
      </w:pPr>
      <w:r>
        <w:rPr>
          <w:rtl w:val="0"/>
          <w:lang w:val="en-US"/>
        </w:rPr>
        <w:t xml:space="preserve">The token uses </w:t>
      </w:r>
      <w:r>
        <w:rPr>
          <w:rFonts w:ascii="Consolas" w:cs="Consolas" w:hAnsi="Consolas" w:eastAsia="Consolas"/>
          <w:rtl w:val="0"/>
          <w:lang w:val="en-US"/>
        </w:rPr>
        <w:t>decimals = 18</w:t>
      </w:r>
      <w:r>
        <w:rPr>
          <w:rtl w:val="0"/>
          <w:lang w:val="en-US"/>
        </w:rPr>
        <w:t xml:space="preserve"> because that is the ERC-20 convention. This means fractional transfers are technically possible at the contract level. The frontend defends against that by making the doorman check </w:t>
      </w:r>
      <w:r>
        <w:rPr>
          <w:rFonts w:ascii="Consolas" w:cs="Consolas" w:hAnsi="Consolas" w:eastAsia="Consolas"/>
          <w:rtl w:val="0"/>
          <w:lang w:val="en-US"/>
        </w:rPr>
        <w:t>&gt;= 1e18</w:t>
      </w:r>
      <w:r>
        <w:rPr>
          <w:rtl w:val="0"/>
          <w:lang w:val="en-US"/>
        </w:rPr>
        <w:t xml:space="preserve"> and by making transfers always send exactly </w:t>
      </w:r>
      <w:r>
        <w:rPr>
          <w:rFonts w:ascii="Consolas" w:cs="Consolas" w:hAnsi="Consolas" w:eastAsia="Consolas"/>
          <w:rtl w:val="0"/>
          <w:lang w:val="en-US"/>
        </w:rPr>
        <w:t>1e18</w:t>
      </w:r>
      <w:r>
        <w:rPr>
          <w:rtl w:val="0"/>
          <w:lang w:val="en-US"/>
        </w:rPr>
        <w:t xml:space="preserve">. A production version would use </w:t>
      </w:r>
      <w:r>
        <w:rPr>
          <w:rFonts w:ascii="Consolas" w:cs="Consolas" w:hAnsi="Consolas" w:eastAsia="Consolas"/>
          <w:rtl w:val="0"/>
          <w:lang w:val="en-US"/>
        </w:rPr>
        <w:t>decimals = 0</w:t>
      </w:r>
      <w:r>
        <w:rPr>
          <w:rtl w:val="0"/>
          <w:lang w:val="en-US"/>
        </w:rPr>
        <w:t xml:space="preserve"> or enforce whole-ticket amounts in the contract functions. I noted this as a known limitation after peer review.</w:t>
      </w:r>
    </w:p>
    <w:p>
      <w:pPr>
        <w:pStyle w:val="Body Text"/>
      </w:pPr>
      <w:r>
        <w:rPr>
          <w:rtl w:val="0"/>
          <w:lang w:val="en-US"/>
        </w:rPr>
        <w:t xml:space="preserve">The vendor is the deployer because this is a single-event system. In this model the deployer is the venue operator, receives tickets back through </w:t>
      </w:r>
      <w:r>
        <w:rPr>
          <w:rFonts w:ascii="Consolas" w:cs="Consolas" w:hAnsi="Consolas" w:eastAsia="Consolas"/>
          <w:rtl w:val="0"/>
          <w:lang w:val="en-US"/>
        </w:rPr>
        <w:t>transfer()</w:t>
      </w:r>
      <w:r>
        <w:rPr>
          <w:rtl w:val="0"/>
          <w:lang w:val="en-US"/>
        </w:rPr>
        <w:t xml:space="preserve">, and pulls revenue through </w:t>
      </w:r>
      <w:r>
        <w:rPr>
          <w:rFonts w:ascii="Consolas" w:cs="Consolas" w:hAnsi="Consolas" w:eastAsia="Consolas"/>
          <w:rtl w:val="0"/>
          <w:lang w:val="en-US"/>
        </w:rPr>
        <w:t>withdraw()</w:t>
      </w:r>
      <w:r>
        <w:rPr>
          <w:rtl w:val="0"/>
          <w:lang w:val="en-US"/>
        </w:rPr>
        <w:t>. A multi-event version would separate those roles, because organiser, venue, vendor, and contract owner do not always mean the same thing.</w:t>
      </w:r>
      <w:bookmarkEnd w:id="3"/>
    </w:p>
    <w:p>
      <w:pPr>
        <w:pStyle w:val="Heading 2"/>
      </w:pPr>
      <w:bookmarkStart w:name="transactionevidence" w:id="4"/>
      <w:r>
        <w:rPr>
          <w:rFonts w:cs="Arial Unicode MS" w:eastAsia="Arial Unicode MS"/>
          <w:sz w:val="22"/>
          <w:szCs w:val="22"/>
          <w:rtl w:val="0"/>
          <w:lang w:val="fr-FR"/>
        </w:rPr>
        <w:t>5. Transaction Evidence</w:t>
      </w:r>
    </w:p>
    <w:p>
      <w:pPr>
        <w:pStyle w:val="First Paragraph"/>
      </w:pPr>
      <w:r>
        <w:rPr>
          <w:rtl w:val="0"/>
          <w:lang w:val="en-US"/>
        </w:rPr>
        <w:t xml:space="preserve">Deployment </w:t>
      </w:r>
      <w:r>
        <w:rPr>
          <w:rStyle w:val="Hyperlink.0"/>
        </w:rPr>
        <w:fldChar w:fldCharType="begin" w:fldLock="0"/>
      </w:r>
      <w:r>
        <w:rPr>
          <w:rStyle w:val="Hyperlink.0"/>
        </w:rPr>
        <w:instrText xml:space="preserve"> HYPERLINK "https://sepolia.etherscan.io/tx/0x85786fc20431c6ac55e740b2a8b45d02fa99c0c6602e0516a2d86e96ee599916"</w:instrText>
      </w:r>
      <w:r>
        <w:rPr>
          <w:rStyle w:val="Hyperlink.0"/>
        </w:rPr>
        <w:fldChar w:fldCharType="separate" w:fldLock="0"/>
      </w:r>
      <w:r>
        <w:rPr>
          <w:rStyle w:val="Hyperlink.0"/>
          <w:rtl w:val="0"/>
        </w:rPr>
        <w:t>0x85786fc20431c6ac55e740b2a8b45d02fa99c0c6602e0516a2d86e96ee599916</w:t>
      </w:r>
      <w:r>
        <w:rPr/>
        <w:fldChar w:fldCharType="end" w:fldLock="0"/>
      </w:r>
      <w:r>
        <w:rPr>
          <w:rtl w:val="0"/>
          <w:lang w:val="en-US"/>
        </w:rPr>
        <w:t xml:space="preserve"> proves the final V4 contract was deployed on Sepolia at </w:t>
      </w:r>
      <w:r>
        <w:rPr>
          <w:rFonts w:ascii="Consolas" w:cs="Consolas" w:hAnsi="Consolas" w:eastAsia="Consolas"/>
          <w:rtl w:val="0"/>
          <w:lang w:val="en-US"/>
        </w:rPr>
        <w:t>0x705D6c204a755e51b517bBA9124e3F23Dc9F88C2</w:t>
      </w:r>
      <w:r>
        <w:rPr>
          <w:rtl w:val="0"/>
          <w:lang w:val="en-US"/>
        </w:rPr>
        <w:t>.</w:t>
      </w:r>
    </w:p>
    <w:p>
      <w:pPr>
        <w:pStyle w:val="Body Text"/>
      </w:pPr>
      <w:r>
        <w:rPr>
          <w:rtl w:val="0"/>
          <w:lang w:val="en-US"/>
        </w:rPr>
        <w:t xml:space="preserve">Approve setup </w:t>
      </w:r>
      <w:r>
        <w:rPr>
          <w:rStyle w:val="Hyperlink.0"/>
        </w:rPr>
        <w:fldChar w:fldCharType="begin" w:fldLock="0"/>
      </w:r>
      <w:r>
        <w:rPr>
          <w:rStyle w:val="Hyperlink.0"/>
        </w:rPr>
        <w:instrText xml:space="preserve"> HYPERLINK "https://sepolia.etherscan.io/tx/0xeef8cc3f327efad7e831b510014c94529fd53557d3a32ee1a1714ba29b05463f"</w:instrText>
      </w:r>
      <w:r>
        <w:rPr>
          <w:rStyle w:val="Hyperlink.0"/>
        </w:rPr>
        <w:fldChar w:fldCharType="separate" w:fldLock="0"/>
      </w:r>
      <w:r>
        <w:rPr>
          <w:rStyle w:val="Hyperlink.0"/>
          <w:rtl w:val="0"/>
        </w:rPr>
        <w:t>0xeef8cc3f327efad7e831b510014c94529fd53557d3a32ee1a1714ba29b05463f</w:t>
      </w:r>
      <w:r>
        <w:rPr/>
        <w:fldChar w:fldCharType="end" w:fldLock="0"/>
      </w:r>
      <w:r>
        <w:rPr>
          <w:rtl w:val="0"/>
          <w:lang w:val="en-US"/>
        </w:rPr>
        <w:t xml:space="preserve"> proves the deployer granted the contract allowance to sell from the deployer</w:t>
      </w:r>
      <w:r>
        <w:rPr>
          <w:rtl w:val="0"/>
          <w:lang w:val="en-US"/>
        </w:rPr>
        <w:t>’</w:t>
      </w:r>
      <w:r>
        <w:rPr>
          <w:rtl w:val="0"/>
          <w:lang w:val="en-US"/>
        </w:rPr>
        <w:t>s ticket inventory.</w:t>
      </w:r>
    </w:p>
    <w:p>
      <w:pPr>
        <w:pStyle w:val="Body Text"/>
      </w:pPr>
      <w:r>
        <w:rPr>
          <w:rtl w:val="0"/>
          <w:lang w:val="en-US"/>
        </w:rPr>
        <w:t xml:space="preserve">Buy via Remix </w:t>
      </w:r>
      <w:r>
        <w:rPr>
          <w:rStyle w:val="Hyperlink.0"/>
        </w:rPr>
        <w:fldChar w:fldCharType="begin" w:fldLock="0"/>
      </w:r>
      <w:r>
        <w:rPr>
          <w:rStyle w:val="Hyperlink.0"/>
        </w:rPr>
        <w:instrText xml:space="preserve"> HYPERLINK "https://sepolia.etherscan.io/tx/0x0f431f7d52cb1b2be1f95aa045e067dd9194677d69b88af582cae6b5722b5669"</w:instrText>
      </w:r>
      <w:r>
        <w:rPr>
          <w:rStyle w:val="Hyperlink.0"/>
        </w:rPr>
        <w:fldChar w:fldCharType="separate" w:fldLock="0"/>
      </w:r>
      <w:r>
        <w:rPr>
          <w:rStyle w:val="Hyperlink.0"/>
          <w:rtl w:val="0"/>
        </w:rPr>
        <w:t>0x0f431f7d52cb1b2be1f95aa045e067dd9194677d69b88af582cae6b5722b5669</w:t>
      </w:r>
      <w:r>
        <w:rPr/>
        <w:fldChar w:fldCharType="end" w:fldLock="0"/>
      </w:r>
      <w:r>
        <w:rPr>
          <w:rtl w:val="0"/>
          <w:lang w:val="en-US"/>
        </w:rPr>
        <w:t xml:space="preserve"> proves </w:t>
      </w:r>
      <w:r>
        <w:rPr>
          <w:rFonts w:ascii="Consolas" w:cs="Consolas" w:hAnsi="Consolas" w:eastAsia="Consolas"/>
          <w:rtl w:val="0"/>
          <w:lang w:val="en-US"/>
        </w:rPr>
        <w:t>buyTicket()</w:t>
      </w:r>
      <w:r>
        <w:rPr>
          <w:rtl w:val="0"/>
          <w:lang w:val="en-US"/>
        </w:rPr>
        <w:t xml:space="preserve"> worked from a contract interaction tool before the frontend was wired around it.</w:t>
      </w:r>
    </w:p>
    <w:p>
      <w:pPr>
        <w:pStyle w:val="Body Text"/>
      </w:pPr>
      <w:r>
        <w:rPr>
          <w:rtl w:val="0"/>
          <w:lang w:val="en-US"/>
        </w:rPr>
        <w:t xml:space="preserve">Buy via frontend </w:t>
      </w:r>
      <w:r>
        <w:rPr>
          <w:rStyle w:val="Hyperlink.0"/>
        </w:rPr>
        <w:fldChar w:fldCharType="begin" w:fldLock="0"/>
      </w:r>
      <w:r>
        <w:rPr>
          <w:rStyle w:val="Hyperlink.0"/>
        </w:rPr>
        <w:instrText xml:space="preserve"> HYPERLINK "https://sepolia.etherscan.io/tx/0x6023dd36578f0c0fddaebaed32d5d689d19fdc0fe26c9827b2a5f89e7f97f4d4"</w:instrText>
      </w:r>
      <w:r>
        <w:rPr>
          <w:rStyle w:val="Hyperlink.0"/>
        </w:rPr>
        <w:fldChar w:fldCharType="separate" w:fldLock="0"/>
      </w:r>
      <w:r>
        <w:rPr>
          <w:rStyle w:val="Hyperlink.0"/>
          <w:rtl w:val="0"/>
        </w:rPr>
        <w:t>0x6023dd36578f0c0fddaebaed32d5d689d19fdc0fe26c9827b2a5f89e7f97f4d4</w:t>
      </w:r>
      <w:r>
        <w:rPr/>
        <w:fldChar w:fldCharType="end" w:fldLock="0"/>
      </w:r>
      <w:r>
        <w:rPr>
          <w:rtl w:val="0"/>
          <w:lang w:val="en-US"/>
        </w:rPr>
        <w:t xml:space="preserve"> proves the keystore unlock, transaction build, signing, and </w:t>
      </w:r>
      <w:r>
        <w:rPr>
          <w:rFonts w:ascii="Consolas" w:cs="Consolas" w:hAnsi="Consolas" w:eastAsia="Consolas"/>
          <w:rtl w:val="0"/>
          <w:lang w:val="en-US"/>
        </w:rPr>
        <w:t>buyTicket()</w:t>
      </w:r>
      <w:r>
        <w:rPr>
          <w:rtl w:val="0"/>
          <w:lang w:val="en-US"/>
        </w:rPr>
        <w:t xml:space="preserve"> submission path works from the browser.</w:t>
      </w:r>
    </w:p>
    <w:p>
      <w:pPr>
        <w:pStyle w:val="Body Text"/>
      </w:pPr>
      <w:r>
        <w:rPr>
          <w:rtl w:val="0"/>
          <w:lang w:val="en-US"/>
        </w:rPr>
        <w:t xml:space="preserve">Transfer via frontend </w:t>
      </w:r>
      <w:r>
        <w:rPr>
          <w:rStyle w:val="Hyperlink.0"/>
        </w:rPr>
        <w:fldChar w:fldCharType="begin" w:fldLock="0"/>
      </w:r>
      <w:r>
        <w:rPr>
          <w:rStyle w:val="Hyperlink.0"/>
        </w:rPr>
        <w:instrText xml:space="preserve"> HYPERLINK "https://sepolia.etherscan.io/tx/0x7d55e4b6cd28101fd5a5fc506622885ea46e440c630c3610813ddb110456236e"</w:instrText>
      </w:r>
      <w:r>
        <w:rPr>
          <w:rStyle w:val="Hyperlink.0"/>
        </w:rPr>
        <w:fldChar w:fldCharType="separate" w:fldLock="0"/>
      </w:r>
      <w:r>
        <w:rPr>
          <w:rStyle w:val="Hyperlink.0"/>
          <w:rtl w:val="0"/>
        </w:rPr>
        <w:t>0x7d55e4b6cd28101fd5a5fc506622885ea46e440c630c3610813ddb110456236e</w:t>
      </w:r>
      <w:r>
        <w:rPr/>
        <w:fldChar w:fldCharType="end" w:fldLock="0"/>
      </w:r>
      <w:r>
        <w:rPr>
          <w:rtl w:val="0"/>
          <w:lang w:val="en-US"/>
        </w:rPr>
        <w:t xml:space="preserve"> proves the browser can sign a standard ERC-20 </w:t>
      </w:r>
      <w:r>
        <w:rPr>
          <w:rFonts w:ascii="Consolas" w:cs="Consolas" w:hAnsi="Consolas" w:eastAsia="Consolas"/>
          <w:rtl w:val="0"/>
          <w:lang w:val="en-US"/>
        </w:rPr>
        <w:t>transfer()</w:t>
      </w:r>
      <w:r>
        <w:rPr>
          <w:rtl w:val="0"/>
          <w:lang w:val="en-US"/>
        </w:rPr>
        <w:t xml:space="preserve"> that returns one full ticket to the vendor address.</w:t>
      </w:r>
    </w:p>
    <w:p>
      <w:pPr>
        <w:pStyle w:val="Body Text"/>
      </w:pPr>
      <w:r>
        <w:rPr>
          <w:rtl w:val="0"/>
          <w:lang w:val="en-US"/>
        </w:rPr>
        <w:t xml:space="preserve">Withdraw </w:t>
      </w:r>
      <w:r>
        <w:rPr>
          <w:rStyle w:val="Hyperlink.0"/>
        </w:rPr>
        <w:fldChar w:fldCharType="begin" w:fldLock="0"/>
      </w:r>
      <w:r>
        <w:rPr>
          <w:rStyle w:val="Hyperlink.0"/>
        </w:rPr>
        <w:instrText xml:space="preserve"> HYPERLINK "https://sepolia.etherscan.io/tx/0xd60ae875c55dc3d41331a1e1df99c234bcdc6bc842dacd9b599d05975e6f5ebd"</w:instrText>
      </w:r>
      <w:r>
        <w:rPr>
          <w:rStyle w:val="Hyperlink.0"/>
        </w:rPr>
        <w:fldChar w:fldCharType="separate" w:fldLock="0"/>
      </w:r>
      <w:r>
        <w:rPr>
          <w:rStyle w:val="Hyperlink.0"/>
          <w:rtl w:val="0"/>
        </w:rPr>
        <w:t>0xd60ae875c55dc3d41331a1e1df99c234bcdc6bc842dacd9b599d05975e6f5ebd</w:t>
      </w:r>
      <w:r>
        <w:rPr/>
        <w:fldChar w:fldCharType="end" w:fldLock="0"/>
      </w:r>
      <w:r>
        <w:rPr>
          <w:rtl w:val="0"/>
          <w:lang w:val="en-US"/>
        </w:rPr>
        <w:t xml:space="preserve"> proves the deployer-only revenue withdrawal path works after ticket sales accumulate ETH in the contract.</w:t>
      </w:r>
    </w:p>
    <w:p>
      <w:pPr>
        <w:pStyle w:val="Body Text"/>
      </w:pPr>
      <w:r>
        <w:rPr>
          <w:rtl w:val="0"/>
          <w:lang w:val="en-US"/>
        </w:rPr>
        <w:t xml:space="preserve">Buy revert wrong value </w:t>
      </w:r>
      <w:r>
        <w:rPr>
          <w:rStyle w:val="Hyperlink.0"/>
        </w:rPr>
        <w:fldChar w:fldCharType="begin" w:fldLock="0"/>
      </w:r>
      <w:r>
        <w:rPr>
          <w:rStyle w:val="Hyperlink.0"/>
        </w:rPr>
        <w:instrText xml:space="preserve"> HYPERLINK "https://sepolia.etherscan.io/tx/0x76092608463a44c80744d96cf0e5b37ca7b2642164949ccf83002c084b8a496b"</w:instrText>
      </w:r>
      <w:r>
        <w:rPr>
          <w:rStyle w:val="Hyperlink.0"/>
        </w:rPr>
        <w:fldChar w:fldCharType="separate" w:fldLock="0"/>
      </w:r>
      <w:r>
        <w:rPr>
          <w:rStyle w:val="Hyperlink.0"/>
          <w:rtl w:val="0"/>
        </w:rPr>
        <w:t>0x76092608463a44c80744d96cf0e5b37ca7b2642164949ccf83002c084b8a496b</w:t>
      </w:r>
      <w:r>
        <w:rPr/>
        <w:fldChar w:fldCharType="end" w:fldLock="0"/>
      </w:r>
      <w:r>
        <w:rPr>
          <w:rtl w:val="0"/>
          <w:lang w:val="en-US"/>
        </w:rPr>
        <w:t xml:space="preserve"> proves </w:t>
      </w:r>
      <w:r>
        <w:rPr>
          <w:rFonts w:ascii="Consolas" w:cs="Consolas" w:hAnsi="Consolas" w:eastAsia="Consolas"/>
          <w:rtl w:val="0"/>
          <w:lang w:val="en-US"/>
        </w:rPr>
        <w:t>buyTicket()</w:t>
      </w:r>
      <w:r>
        <w:rPr>
          <w:rtl w:val="0"/>
          <w:lang w:val="en-US"/>
        </w:rPr>
        <w:t xml:space="preserve"> rejects payments that do not match the fixed ticket price.</w:t>
      </w:r>
    </w:p>
    <w:p>
      <w:pPr>
        <w:pStyle w:val="Body Text"/>
      </w:pPr>
      <w:r>
        <w:rPr>
          <w:rtl w:val="0"/>
          <w:lang w:val="en-US"/>
        </w:rPr>
        <w:t xml:space="preserve">Withdraw revert wrong caller </w:t>
      </w:r>
      <w:r>
        <w:rPr>
          <w:rStyle w:val="Hyperlink.0"/>
        </w:rPr>
        <w:fldChar w:fldCharType="begin" w:fldLock="0"/>
      </w:r>
      <w:r>
        <w:rPr>
          <w:rStyle w:val="Hyperlink.0"/>
        </w:rPr>
        <w:instrText xml:space="preserve"> HYPERLINK "https://sepolia.etherscan.io/tx/0xa289f3421cbaa958505f9a5390a7ac9f74540e2daeaa42996f1d2d262dd36c72"</w:instrText>
      </w:r>
      <w:r>
        <w:rPr>
          <w:rStyle w:val="Hyperlink.0"/>
        </w:rPr>
        <w:fldChar w:fldCharType="separate" w:fldLock="0"/>
      </w:r>
      <w:r>
        <w:rPr>
          <w:rStyle w:val="Hyperlink.0"/>
          <w:rtl w:val="0"/>
        </w:rPr>
        <w:t>0xa289f3421cbaa958505f9a5390a7ac9f74540e2daeaa42996f1d2d262dd36c72</w:t>
      </w:r>
      <w:r>
        <w:rPr/>
        <w:fldChar w:fldCharType="end" w:fldLock="0"/>
      </w:r>
      <w:r>
        <w:rPr>
          <w:rtl w:val="0"/>
          <w:lang w:val="en-US"/>
        </w:rPr>
        <w:t xml:space="preserve"> proves non-deployer accounts cannot withdraw contract revenue.</w:t>
      </w:r>
    </w:p>
    <w:p>
      <w:pPr>
        <w:pStyle w:val="Body Text"/>
      </w:pPr>
      <w:r>
        <w:rPr>
          <w:rtl w:val="0"/>
          <w:lang w:val="en-US"/>
        </w:rPr>
        <w:t xml:space="preserve">Wallet top-up </w:t>
      </w:r>
      <w:r>
        <w:rPr>
          <w:rtl w:val="0"/>
          <w:lang w:val="en-US"/>
        </w:rPr>
        <w:t xml:space="preserve">— </w:t>
      </w:r>
      <w:r>
        <w:rPr>
          <w:rtl w:val="0"/>
          <w:lang w:val="en-US"/>
        </w:rPr>
        <w:t xml:space="preserve">the keystore buyer wallet </w:t>
      </w:r>
      <w:r>
        <w:rPr>
          <w:rStyle w:val="Hyperlink.0"/>
        </w:rPr>
        <w:fldChar w:fldCharType="begin" w:fldLock="0"/>
      </w:r>
      <w:r>
        <w:rPr>
          <w:rStyle w:val="Hyperlink.0"/>
        </w:rPr>
        <w:instrText xml:space="preserve"> HYPERLINK "https://sepolia.etherscan.io/address/0x75F3d75BC22A7A06fa7825556665a7E69790E68a"</w:instrText>
      </w:r>
      <w:r>
        <w:rPr>
          <w:rStyle w:val="Hyperlink.0"/>
        </w:rPr>
        <w:fldChar w:fldCharType="separate" w:fldLock="0"/>
      </w:r>
      <w:r>
        <w:rPr>
          <w:rStyle w:val="Hyperlink.0"/>
          <w:rtl w:val="0"/>
        </w:rPr>
        <w:t>0x75F3d75BC22A7A06fa7825556665a7E69790E68a</w:t>
      </w:r>
      <w:r>
        <w:rPr/>
        <w:fldChar w:fldCharType="end" w:fldLock="0"/>
      </w:r>
      <w:r>
        <w:rPr>
          <w:rtl w:val="0"/>
          <w:lang w:val="en-US"/>
        </w:rPr>
        <w:t xml:space="preserve"> was funded by the deployer before testing via </w:t>
      </w:r>
      <w:r>
        <w:rPr>
          <w:rStyle w:val="Hyperlink.0"/>
        </w:rPr>
        <w:fldChar w:fldCharType="begin" w:fldLock="0"/>
      </w:r>
      <w:r>
        <w:rPr>
          <w:rStyle w:val="Hyperlink.0"/>
        </w:rPr>
        <w:instrText xml:space="preserve"> HYPERLINK "https://sepolia.etherscan.io/tx/0x06e09c8f8e2ca08746ddf987e362f5375313afbbe678e187a9a7a551be39c1cd"</w:instrText>
      </w:r>
      <w:r>
        <w:rPr>
          <w:rStyle w:val="Hyperlink.0"/>
        </w:rPr>
        <w:fldChar w:fldCharType="separate" w:fldLock="0"/>
      </w:r>
      <w:r>
        <w:rPr>
          <w:rStyle w:val="Hyperlink.0"/>
          <w:rtl w:val="0"/>
        </w:rPr>
        <w:t>0x06e09c8f8e2ca08746ddf987e362f5375313afbbe678e187a9a7a551be39c1cd</w:t>
      </w:r>
      <w:r>
        <w:rPr/>
        <w:fldChar w:fldCharType="end" w:fldLock="0"/>
      </w:r>
      <w:r>
        <w:rPr>
          <w:rtl w:val="0"/>
          <w:lang w:val="en-US"/>
        </w:rPr>
        <w:t>. The deployer wallet was funded via Sepolia faucet prior to deployment, confirmed active by the deployment transaction above. The vendor/doorman role is fulfilled by the deployer in this single-event design.</w:t>
      </w:r>
      <w:bookmarkEnd w:id="4"/>
    </w:p>
    <w:p>
      <w:pPr>
        <w:pStyle w:val="Heading 2"/>
      </w:pPr>
      <w:r>
        <w:rPr>
          <w:rFonts w:cs="Arial Unicode MS" w:eastAsia="Arial Unicode MS"/>
          <w:rtl w:val="0"/>
          <w:lang w:val="en-US"/>
        </w:rPr>
        <w:t>6</w:t>
      </w:r>
      <w:bookmarkStart w:name="statementonuseofgenerativeai" w:id="5"/>
      <w:r>
        <w:rPr>
          <w:rFonts w:cs="Arial Unicode MS" w:eastAsia="Arial Unicode MS"/>
          <w:sz w:val="22"/>
          <w:szCs w:val="22"/>
          <w:rtl w:val="0"/>
          <w:lang w:val="en-US"/>
        </w:rPr>
        <w:t>. Statement on Use of Generative AI</w:t>
      </w:r>
    </w:p>
    <w:p>
      <w:pPr>
        <w:pStyle w:val="First Paragraph"/>
      </w:pPr>
      <w:r>
        <w:rPr>
          <w:rtl w:val="0"/>
          <w:lang w:val="en-US"/>
        </w:rPr>
        <w:t>I used Generative AI as a supervised development assistant throughout the project. The AI was used to propose implementation plans, write first drafts of code, review gas and security trade-offs, generate and expand test cases, and help document the final system. I did not accept AI output blindly: the chat logs show that I rejected or corrected plans, asked for specific architecture changes, required error-handling improvements, requested gas analysis, and manually tested the final wallet, balance, buy, transfer, and contract flows.</w:t>
      </w:r>
    </w:p>
    <w:p>
      <w:pPr>
        <w:pStyle w:val="Body Text"/>
      </w:pPr>
      <w:r>
        <w:rPr>
          <w:rtl w:val="0"/>
          <w:lang w:val="en-US"/>
        </w:rPr>
        <w:t xml:space="preserve">The final design choices remain my responsibility. In particular, I directed the use of a plain HTML/CSS/JavaScript frontend, the keystore wallet flow, the V4 contract deployment, the manual reentrancy guard, the hardcoded deployer/vendor address trade-off, and the decision to document the fractional ERC-20 ticket limitation instead of redeploying late in the project. The supporting AI interaction logs are included in </w:t>
      </w:r>
      <w:r>
        <w:rPr>
          <w:rFonts w:ascii="Consolas" w:cs="Consolas" w:hAnsi="Consolas" w:eastAsia="Consolas"/>
          <w:rtl w:val="0"/>
          <w:lang w:val="en-US"/>
        </w:rPr>
        <w:t>docs/ai-chatlogs/</w:t>
      </w:r>
      <w:r>
        <w:rPr>
          <w:rtl w:val="0"/>
          <w:lang w:val="en-US"/>
        </w:rPr>
        <w:t>.</w:t>
      </w:r>
      <w:bookmarkEnd w:id="5"/>
    </w:p>
    <w:p>
      <w:pPr>
        <w:pStyle w:val="Heading 2"/>
      </w:pPr>
      <w:r>
        <w:rPr>
          <w:rFonts w:cs="Arial Unicode MS" w:eastAsia="Arial Unicode MS"/>
          <w:rtl w:val="0"/>
          <w:lang w:val="en-US"/>
        </w:rPr>
        <w:t>7</w:t>
      </w:r>
      <w:bookmarkStart w:name="knownlimitations" w:id="6"/>
      <w:r>
        <w:rPr>
          <w:rFonts w:cs="Arial Unicode MS" w:eastAsia="Arial Unicode MS"/>
          <w:sz w:val="22"/>
          <w:szCs w:val="22"/>
          <w:rtl w:val="0"/>
          <w:lang w:val="en-US"/>
        </w:rPr>
        <w:t>. Known Limitations</w:t>
      </w:r>
    </w:p>
    <w:p>
      <w:pPr>
        <w:pStyle w:val="Compact"/>
        <w:numPr>
          <w:ilvl w:val="0"/>
          <w:numId w:val="2"/>
        </w:numPr>
        <w:rPr>
          <w:lang w:val="en-US"/>
        </w:rPr>
      </w:pPr>
      <w:r>
        <w:rPr>
          <w:rFonts w:ascii="Consolas" w:cs="Consolas" w:hAnsi="Consolas" w:eastAsia="Consolas"/>
          <w:rtl w:val="0"/>
          <w:lang w:val="en-US"/>
        </w:rPr>
        <w:t>decimals = 18</w:t>
      </w:r>
      <w:r>
        <w:rPr>
          <w:rtl w:val="0"/>
          <w:lang w:val="en-US"/>
        </w:rPr>
        <w:t xml:space="preserve"> allows fractional transfers at contract level; frontend enforces whole-ticket operations.</w:t>
      </w:r>
    </w:p>
    <w:p>
      <w:pPr>
        <w:pStyle w:val="Compact"/>
        <w:numPr>
          <w:ilvl w:val="0"/>
          <w:numId w:val="2"/>
        </w:numPr>
        <w:rPr>
          <w:lang w:val="en-US"/>
        </w:rPr>
      </w:pPr>
      <w:r>
        <w:rPr>
          <w:rFonts w:ascii="Consolas" w:cs="Consolas" w:hAnsi="Consolas" w:eastAsia="Consolas"/>
          <w:rtl w:val="0"/>
          <w:lang w:val="en-US"/>
        </w:rPr>
        <w:t>DEPLOYER_ADDRESS</w:t>
      </w:r>
      <w:r>
        <w:rPr>
          <w:rtl w:val="0"/>
          <w:lang w:val="en-US"/>
        </w:rPr>
        <w:t xml:space="preserve"> is hardcoded in frontend config; it needs manual update on redeploy.</w:t>
      </w:r>
    </w:p>
    <w:p>
      <w:pPr>
        <w:pStyle w:val="Compact"/>
        <w:numPr>
          <w:ilvl w:val="0"/>
          <w:numId w:val="2"/>
        </w:numPr>
        <w:rPr>
          <w:lang w:val="en-US"/>
        </w:rPr>
      </w:pPr>
      <w:r>
        <w:rPr>
          <w:rtl w:val="0"/>
          <w:lang w:val="en-US"/>
        </w:rPr>
        <w:t>Ticket price is set to 0.000001 SETH for Sepolia testing economy.</w:t>
      </w:r>
    </w:p>
    <w:p>
      <w:pPr>
        <w:pStyle w:val="Compact"/>
        <w:numPr>
          <w:ilvl w:val="0"/>
          <w:numId w:val="2"/>
        </w:numPr>
        <w:rPr>
          <w:lang w:val="en-US"/>
        </w:rPr>
      </w:pPr>
      <w:r>
        <w:rPr>
          <w:rtl w:val="0"/>
          <w:lang w:val="en-US"/>
        </w:rPr>
        <w:t>Venue sold count is inferred as total supply minus deployer balance; this is accurate for the single-event model with no peer-to-peer trading, but would need on-chain tracking for a multi-event system.</w:t>
      </w:r>
    </w:p>
    <w:p>
      <w:pPr>
        <w:pStyle w:val="Compact"/>
        <w:numPr>
          <w:ilvl w:val="0"/>
          <w:numId w:val="2"/>
        </w:numPr>
        <w:rPr>
          <w:lang w:val="en-US"/>
        </w:rPr>
      </w:pPr>
      <w:r>
        <w:rPr>
          <w:rtl w:val="0"/>
          <w:lang w:val="en-US"/>
        </w:rPr>
        <w:t xml:space="preserve">There is no dedicated </w:t>
      </w:r>
      <w:r>
        <w:rPr>
          <w:rFonts w:ascii="Consolas" w:cs="Consolas" w:hAnsi="Consolas" w:eastAsia="Consolas"/>
          <w:rtl w:val="0"/>
          <w:lang w:val="en-US"/>
        </w:rPr>
        <w:t>returnTicket()</w:t>
      </w:r>
      <w:r>
        <w:rPr>
          <w:rtl w:val="0"/>
          <w:lang w:val="en-US"/>
        </w:rPr>
        <w:t xml:space="preserve"> function; standard ERC-20 </w:t>
      </w:r>
      <w:r>
        <w:rPr>
          <w:rFonts w:ascii="Consolas" w:cs="Consolas" w:hAnsi="Consolas" w:eastAsia="Consolas"/>
          <w:rtl w:val="0"/>
          <w:lang w:val="en-US"/>
        </w:rPr>
        <w:t>transfer()</w:t>
      </w:r>
      <w:r>
        <w:rPr>
          <w:rtl w:val="0"/>
          <w:lang w:val="en-US"/>
        </w:rPr>
        <w:t xml:space="preserve"> to the vendor address is used instead.</w:t>
      </w:r>
      <w:bookmarkEnd w:id="6"/>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120" w:line="240" w:lineRule="auto"/>
      <w:ind w:left="0" w:right="0" w:firstLine="0"/>
      <w:jc w:val="center"/>
      <w:outlineLvl w:val="9"/>
    </w:pPr>
    <w:rPr>
      <w:rFonts w:ascii="Calibri" w:cs="Arial Unicode MS" w:hAnsi="Calibri" w:eastAsia="Arial Unicode MS"/>
      <w:b w:val="0"/>
      <w:bCs w:val="0"/>
      <w:i w:val="0"/>
      <w:iCs w:val="0"/>
      <w:caps w:val="0"/>
      <w:smallCaps w:val="0"/>
      <w:strike w:val="0"/>
      <w:dstrike w:val="0"/>
      <w:outline w:val="0"/>
      <w:color w:val="1f4d78"/>
      <w:spacing w:val="0"/>
      <w:kern w:val="0"/>
      <w:position w:val="0"/>
      <w:sz w:val="40"/>
      <w:szCs w:val="40"/>
      <w:u w:val="none" w:color="1f4d78"/>
      <w:shd w:val="nil" w:color="auto" w:fill="auto"/>
      <w:vertAlign w:val="baseline"/>
      <w:lang w:val="en-US"/>
      <w14:textOutline>
        <w14:noFill/>
      </w14:textOutline>
      <w14:textFill>
        <w14:solidFill>
          <w14:srgbClr w14:val="1F4D78"/>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64"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64"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f81bd"/>
      <w:u w:val="single" w:color="4f81bd"/>
      <w14:textFill>
        <w14:solidFill>
          <w14:srgbClr w14:val="4F81BD"/>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200" w:after="120" w:line="264" w:lineRule="auto"/>
      <w:ind w:left="0" w:right="0" w:firstLine="0"/>
      <w:jc w:val="left"/>
      <w:outlineLvl w:val="1"/>
    </w:pPr>
    <w:rPr>
      <w:rFonts w:ascii="Calibri" w:cs="Calibri" w:hAnsi="Calibri" w:eastAsia="Calibri"/>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14:textOutline>
        <w14:noFill/>
      </w14:textOutline>
      <w14:textFill>
        <w14:solidFill>
          <w14:srgbClr w14:val="2E74B5"/>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64"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