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sz w:val="22"/>
        </w:rPr>
        <w:t xml:space="preserve">Sepolia Deployment History</w:t>
      </w:r>
    </w:p>
    <w:bookmarkStart w:id="44" w:name="sepolia-deployment-history"/>
    <w:p>
      <w:pPr>
        <w:pStyle w:val="Heading1"/>
      </w:pPr>
      <w:r>
        <w:rPr>
          <w:sz w:val="22"/>
        </w:rPr>
        <w:t xml:space="preserve">Sepolia Deployment History</w:t>
      </w:r>
    </w:p>
    <w:p>
      <w:pPr>
        <w:pStyle w:val="FirstParagraph"/>
      </w:pPr>
      <w:r>
        <w:rPr>
          <w:sz w:val="22"/>
        </w:rPr>
        <w:t xml:space="preserve">All deployments to Ethereum Sepolia testnet via Remix IDE → Injected</w:t>
      </w:r>
      <w:r>
        <w:rPr>
          <w:sz w:val="22"/>
        </w:rPr>
        <w:t xml:space="preserve"> </w:t>
      </w:r>
      <w:r>
        <w:rPr>
          <w:sz w:val="22"/>
        </w:rPr>
        <w:t xml:space="preserve">Provider → MetaMask. Each version represents a deliberate iteration</w:t>
      </w:r>
      <w:r>
        <w:rPr>
          <w:sz w:val="22"/>
        </w:rPr>
        <w:t xml:space="preserve"> </w:t>
      </w:r>
      <w:r>
        <w:rPr>
          <w:sz w:val="22"/>
        </w:rPr>
        <w:t xml:space="preserve">documented in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docs/ai-chatlogs/</w:t>
      </w:r>
      <w:r>
        <w:rPr>
          <w:sz w:val="22"/>
        </w:rPr>
        <w:t xml:space="preserve">.</w:t>
      </w:r>
    </w:p>
    <w:p>
      <w:r>
        <w:rPr>
          <w:sz w:val="22"/>
        </w:rPr>
        <w:pict>
          <v:rect style="width:0;height:1.5pt" o:hralign="center" o:hrstd="t" o:hr="t"/>
        </w:pict>
      </w:r>
    </w:p>
    <w:bookmarkStart w:id="9" w:name="v1-base-erc-20-initial-test"/>
    <w:p>
      <w:pPr>
        <w:pStyle w:val="Heading2"/>
      </w:pPr>
      <w:r>
        <w:rPr>
          <w:sz w:val="22"/>
        </w:rPr>
        <w:t xml:space="preserve">V1 — Base ERC-20 (initial test)</w:t>
      </w:r>
    </w:p>
    <w:p>
      <w:pPr>
        <w:pStyle w:val="FirstParagraph"/>
      </w:pPr>
      <w:r>
        <w:rPr>
          <w:sz w:val="22"/>
        </w:rPr>
        <w:t xml:space="preserve">Throwaway test deployment to confirm the base ERC-20 logic worked</w:t>
      </w:r>
      <w:r>
        <w:rPr>
          <w:sz w:val="22"/>
        </w:rPr>
        <w:t xml:space="preserve"> </w:t>
      </w:r>
      <w:r>
        <w:rPr>
          <w:sz w:val="22"/>
        </w:rPr>
        <w:t xml:space="preserve">end-to-end before adding optimisations or the payable extension.</w:t>
      </w:r>
      <w:r>
        <w:rPr>
          <w:sz w:val="22"/>
        </w:rPr>
        <w:t xml:space="preserve"> </w:t>
      </w:r>
      <w:r>
        <w:rPr>
          <w:sz w:val="22"/>
        </w:rPr>
        <w:t xml:space="preserve">Specific tx hash and address not preserved — was treated as a</w:t>
      </w:r>
      <w:r>
        <w:rPr>
          <w:sz w:val="22"/>
        </w:rPr>
        <w:t xml:space="preserve"> </w:t>
      </w:r>
      <w:r>
        <w:rPr>
          <w:sz w:val="22"/>
        </w:rPr>
        <w:t xml:space="preserve">throwaway test and superseded within the same working session.</w:t>
      </w:r>
    </w:p>
    <w:p>
      <w:r>
        <w:rPr>
          <w:sz w:val="22"/>
        </w:rPr>
        <w:pict>
          <v:rect style="width:0;height:1.5pt" o:hralign="center" o:hrstd="t" o:hr="t"/>
        </w:pict>
      </w:r>
    </w:p>
    <w:bookmarkEnd w:id="9"/>
    <w:bookmarkStart w:id="11" w:name="v2-gas-optimised-erc-20"/>
    <w:p>
      <w:pPr>
        <w:pStyle w:val="Heading2"/>
      </w:pPr>
      <w:r>
        <w:rPr>
          <w:sz w:val="22"/>
        </w:rPr>
        <w:t xml:space="preserve">V2 — Gas-optimised ERC-20</w:t>
      </w:r>
    </w:p>
    <w:p>
      <w:pPr>
        <w:pStyle w:val="FirstParagraph"/>
      </w:pPr>
      <w:r>
        <w:rPr>
          <w:sz w:val="22"/>
        </w:rPr>
        <w:t xml:space="preserve">Added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immutable</w:t>
      </w:r>
      <w:r>
        <w:rPr>
          <w:sz w:val="22"/>
        </w:rPr>
        <w:t xml:space="preserve"> </w:t>
      </w:r>
      <w:r>
        <w:rPr>
          <w:sz w:val="22"/>
        </w:rPr>
        <w:t xml:space="preserve">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decimals</w:t>
      </w:r>
      <w:r>
        <w:rPr>
          <w:sz w:val="22"/>
        </w:rPr>
        <w:t xml:space="preserve"> </w:t>
      </w:r>
      <w:r>
        <w:rPr>
          <w:sz w:val="22"/>
        </w:rPr>
        <w:t xml:space="preserve">and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_totalSupply</w:t>
      </w:r>
      <w:r>
        <w:rPr>
          <w:sz w:val="22"/>
        </w:rPr>
        <w:t xml:space="preserve"> </w:t>
      </w:r>
      <w:r>
        <w:rPr>
          <w:sz w:val="22"/>
        </w:rPr>
        <w:t xml:space="preserve">(saves ~2,100 gas</w:t>
      </w:r>
      <w:r>
        <w:rPr>
          <w:sz w:val="22"/>
        </w:rPr>
        <w:t xml:space="preserve"> </w:t>
      </w:r>
      <w:r>
        <w:rPr>
          <w:sz w:val="22"/>
        </w:rPr>
        <w:t xml:space="preserve">per read by baking the value into bytecode rather than reading from</w:t>
      </w:r>
      <w:r>
        <w:rPr>
          <w:sz w:val="22"/>
        </w:rPr>
        <w:t xml:space="preserve"> </w:t>
      </w:r>
      <w:r>
        <w:rPr>
          <w:sz w:val="22"/>
        </w:rPr>
        <w:t xml:space="preserve">storage). Removed dead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msg.sender != address(0)</w:t>
      </w:r>
      <w:r>
        <w:rPr>
          <w:sz w:val="22"/>
        </w:rPr>
        <w:t xml:space="preserve"> </w:t>
      </w:r>
      <w:r>
        <w:rPr>
          <w:sz w:val="22"/>
        </w:rPr>
        <w:t xml:space="preserve">check in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approve</w:t>
      </w:r>
      <w:r>
        <w:rPr>
          <w:sz w:val="22"/>
        </w:rPr>
        <w:t xml:space="preserve"> </w:t>
      </w:r>
      <w:r>
        <w:rPr>
          <w:sz w:val="22"/>
        </w:rPr>
        <w:t xml:space="preserve">(</w:t>
      </w:r>
      <w:r>
        <w:rPr>
          <w:rStyle w:val="VerbatimChar"/>
          <w:sz w:val="22"/>
        </w:rPr>
        <w:t xml:space="preserve">msg.sender</w:t>
      </w:r>
      <w:r>
        <w:rPr>
          <w:sz w:val="22"/>
        </w:rPr>
        <w:t xml:space="preserve"> </w:t>
      </w:r>
      <w:r>
        <w:rPr>
          <w:sz w:val="22"/>
        </w:rPr>
        <w:t xml:space="preserve">cannot be the zero address — the EVM does not permit</w:t>
      </w:r>
      <w:r>
        <w:rPr>
          <w:sz w:val="22"/>
        </w:rPr>
        <w:t xml:space="preserve"> </w:t>
      </w:r>
      <w:r>
        <w:rPr>
          <w:sz w:val="22"/>
        </w:rPr>
        <w:t xml:space="preserve">zero-address signed transactions, so the check was decorative dead</w:t>
      </w:r>
      <w:r>
        <w:rPr>
          <w:sz w:val="22"/>
        </w:rPr>
        <w:t xml:space="preserve"> </w:t>
      </w:r>
      <w:r>
        <w:rPr>
          <w:sz w:val="22"/>
        </w:rPr>
        <w:t xml:space="preserve">code).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Field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Value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Address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0">
              <w:r>
                <w:rPr>
                  <w:rStyle w:val="Hyperlink"/>
                </w:rPr>
                <w:t xml:space="preserve">0xd8b934580fcE35a11B58C6D73aDeE468a2833fa8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Constructor params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name=</w:t>
            </w:r>
            <w:r>
              <w:rPr>
                <w:rFonts w:ascii="Calibri" w:hAnsi="Calibri"/>
                <w:sz w:val="18"/>
              </w:rPr>
              <w:t xml:space="preserve">“TicketToken”</w:t>
            </w:r>
            <w:r>
              <w:rPr>
                <w:rFonts w:ascii="Calibri" w:hAnsi="Calibri"/>
                <w:sz w:val="18"/>
              </w:rPr>
              <w:t xml:space="preserve">, symbol=</w:t>
            </w:r>
            <w:r>
              <w:rPr>
                <w:rFonts w:ascii="Calibri" w:hAnsi="Calibri"/>
                <w:sz w:val="18"/>
              </w:rPr>
              <w:t xml:space="preserve">“TKT”</w:t>
            </w:r>
            <w:r>
              <w:rPr>
                <w:rFonts w:ascii="Calibri" w:hAnsi="Calibri"/>
                <w:sz w:val="18"/>
              </w:rPr>
              <w:t xml:space="preserve">, initialSupply=100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State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Superseded by V3 (added buyTicket)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1"/>
    <w:bookmarkStart w:id="14" w:name="v3-adds-payable-buyticket-extension"/>
    <w:p>
      <w:pPr>
        <w:pStyle w:val="Heading2"/>
      </w:pPr>
      <w:r>
        <w:rPr>
          <w:sz w:val="22"/>
        </w:rPr>
        <w:t xml:space="preserve">V3 — Adds payable buyTicket extension</w:t>
      </w:r>
    </w:p>
    <w:p>
      <w:pPr>
        <w:pStyle w:val="FirstParagraph"/>
      </w:pPr>
      <w:r>
        <w:rPr>
          <w:sz w:val="22"/>
        </w:rPr>
        <w:t xml:space="preserve">The SETH purchase function. Caller sends exactly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ticketPrice</w:t>
      </w:r>
      <w:r>
        <w:rPr>
          <w:sz w:val="22"/>
        </w:rPr>
        <w:t xml:space="preserve"> </w:t>
      </w:r>
      <w:r>
        <w:rPr>
          <w:sz w:val="22"/>
        </w:rPr>
        <w:t xml:space="preserve">(immutable, set in constructor). Contract uses Checks-Effects-</w:t>
      </w:r>
      <w:r>
        <w:rPr>
          <w:sz w:val="22"/>
        </w:rPr>
        <w:t xml:space="preserve"> </w:t>
      </w:r>
      <w:r>
        <w:rPr>
          <w:sz w:val="22"/>
        </w:rPr>
        <w:t xml:space="preserve">Interactions ordering: check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msg.value</w:t>
      </w:r>
      <w:r>
        <w:rPr>
          <w:sz w:val="22"/>
        </w:rPr>
        <w:t xml:space="preserve"> </w:t>
      </w:r>
      <w:r>
        <w:rPr>
          <w:sz w:val="22"/>
        </w:rPr>
        <w:t xml:space="preserve">matches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ticketPrice</w:t>
      </w:r>
      <w:r>
        <w:rPr>
          <w:sz w:val="22"/>
        </w:rPr>
        <w:t xml:space="preserve"> </w:t>
      </w:r>
      <w:r>
        <w:rPr>
          <w:sz w:val="22"/>
        </w:rPr>
        <w:t xml:space="preserve">→</w:t>
      </w:r>
      <w:r>
        <w:rPr>
          <w:sz w:val="22"/>
        </w:rPr>
        <w:t xml:space="preserve"> </w:t>
      </w:r>
      <w:r>
        <w:rPr>
          <w:sz w:val="22"/>
        </w:rPr>
        <w:t xml:space="preserve">check the deployer’s allowance → decrement allowance → transfer the</w:t>
      </w:r>
      <w:r>
        <w:rPr>
          <w:sz w:val="22"/>
        </w:rPr>
        <w:t xml:space="preserve"> </w:t>
      </w:r>
      <w:r>
        <w:rPr>
          <w:sz w:val="22"/>
        </w:rPr>
        <w:t xml:space="preserve">ticket via internal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_transfer</w:t>
      </w:r>
      <w:r>
        <w:rPr>
          <w:sz w:val="22"/>
        </w:rPr>
        <w:t xml:space="preserve">.</w:t>
      </w:r>
    </w:p>
    <w:p>
      <w:pPr>
        <w:pStyle w:val="BodyText"/>
      </w:pPr>
      <w:r>
        <w:rPr>
          <w:sz w:val="22"/>
        </w:rPr>
        <w:t xml:space="preserve">Tickets remain in the deployer’s wallet rather than the contract’s;</w:t>
      </w:r>
      <w:r>
        <w:rPr>
          <w:sz w:val="22"/>
        </w:rPr>
        <w:t xml:space="preserve"> </w:t>
      </w:r>
      <w:r>
        <w:rPr>
          <w:sz w:val="22"/>
        </w:rPr>
        <w:t xml:space="preserve">the contract operates on the deployer’s behalf via a one-time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approve(contractAddress, fullSupply)</w:t>
      </w:r>
      <w:r>
        <w:rPr>
          <w:sz w:val="22"/>
        </w:rPr>
        <w:t xml:space="preserve"> </w:t>
      </w:r>
      <w:r>
        <w:rPr>
          <w:sz w:val="22"/>
        </w:rPr>
        <w:t xml:space="preserve">post-deploy.</w:t>
      </w:r>
    </w:p>
    <w:p>
      <w:pPr>
        <w:pStyle w:val="BodyText"/>
      </w:pPr>
      <w:r>
        <w:rPr>
          <w:sz w:val="22"/>
        </w:rPr>
        <w:t xml:space="preserve">Inline allowance manipulation chosen over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this.transferFrom(...)</w:t>
      </w:r>
      <w:r>
        <w:rPr>
          <w:sz w:val="22"/>
        </w:rPr>
        <w:t xml:space="preserve"> </w:t>
      </w:r>
      <w:r>
        <w:rPr>
          <w:sz w:val="22"/>
        </w:rPr>
        <w:t xml:space="preserve">for two reasons: ~2,600 gas saving (no external CALL overhead), and</w:t>
      </w:r>
      <w:r>
        <w:rPr>
          <w:sz w:val="22"/>
        </w:rPr>
        <w:t xml:space="preserve"> </w:t>
      </w:r>
      <w:r>
        <w:rPr>
          <w:sz w:val="22"/>
        </w:rPr>
        <w:t xml:space="preserve">clarity (</w:t>
      </w:r>
      <w:r>
        <w:rPr>
          <w:rStyle w:val="VerbatimChar"/>
          <w:sz w:val="22"/>
        </w:rPr>
        <w:t xml:space="preserve">this.foo()</w:t>
      </w:r>
      <w:r>
        <w:rPr>
          <w:sz w:val="22"/>
        </w:rPr>
        <w:t xml:space="preserve"> </w:t>
      </w:r>
      <w:r>
        <w:rPr>
          <w:sz w:val="22"/>
        </w:rPr>
        <w:t xml:space="preserve">on the same contract reads as a code smell).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Field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Value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Address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2">
              <w:r>
                <w:rPr>
                  <w:rStyle w:val="Hyperlink"/>
                </w:rPr>
                <w:t xml:space="preserve">0x04c7aA0AaFE789F10bC239383839469DA74FdB59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Constructor params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name=</w:t>
            </w:r>
            <w:r>
              <w:rPr>
                <w:rFonts w:ascii="Calibri" w:hAnsi="Calibri"/>
                <w:sz w:val="18"/>
              </w:rPr>
              <w:t xml:space="preserve">“TicketToken”</w:t>
            </w:r>
            <w:r>
              <w:rPr>
                <w:rFonts w:ascii="Calibri" w:hAnsi="Calibri"/>
                <w:sz w:val="18"/>
              </w:rPr>
              <w:t xml:space="preserve">, symbol=</w:t>
            </w:r>
            <w:r>
              <w:rPr>
                <w:rFonts w:ascii="Calibri" w:hAnsi="Calibri"/>
                <w:sz w:val="18"/>
              </w:rPr>
              <w:t xml:space="preserve">“TKT”</w:t>
            </w:r>
            <w:r>
              <w:rPr>
                <w:rFonts w:ascii="Calibri" w:hAnsi="Calibri"/>
                <w:sz w:val="18"/>
              </w:rPr>
              <w:t xml:space="preserve">, initialSupply=100, ticketPrice=10000000000000000 (0.01 SETH)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Successful buyTicket tx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3">
              <w:r>
                <w:rPr>
                  <w:rStyle w:val="Hyperlink"/>
                </w:rPr>
                <w:t xml:space="preserve">0x47f4b755f3d8317b9726e425519cdb619c59d64358eea2679d7f1f842db17217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Buy block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10749011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Buy gas used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56,976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State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Superseded by V4 (added withdraw + reentrancy guard)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4"/>
    <w:bookmarkStart w:id="38" w:name="v4-final-deployment-live-contract"/>
    <w:p>
      <w:pPr>
        <w:pStyle w:val="Heading2"/>
      </w:pPr>
      <w:r>
        <w:rPr>
          <w:sz w:val="22"/>
        </w:rPr>
        <w:t xml:space="preserve">V4 — Final Deployment ⬅ LIVE CONTRACT</w:t>
      </w:r>
    </w:p>
    <w:p>
      <w:pPr>
        <w:pStyle w:val="FirstParagraph"/>
      </w:pPr>
      <w:r>
        <w:rPr>
          <w:sz w:val="22"/>
        </w:rPr>
        <w:t xml:space="preserve">This is the contract all frontend pages run against. All four pages</w:t>
      </w:r>
      <w:r>
        <w:rPr>
          <w:sz w:val="22"/>
        </w:rPr>
        <w:t xml:space="preserve"> </w:t>
      </w:r>
      <w:r>
        <w:rPr>
          <w:sz w:val="22"/>
        </w:rPr>
        <w:t xml:space="preserve">point at this address via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js/config.js</w:t>
      </w:r>
      <w:r>
        <w:rPr>
          <w:sz w:val="22"/>
        </w:rPr>
        <w:t xml:space="preserve">.</w:t>
      </w:r>
    </w:p>
    <w:bookmarkStart w:id="15" w:name="what-changed-from-v3"/>
    <w:p>
      <w:pPr>
        <w:pStyle w:val="Heading3"/>
      </w:pPr>
      <w:r>
        <w:rPr>
          <w:sz w:val="22"/>
        </w:rPr>
        <w:t xml:space="preserve">What changed from V3</w:t>
      </w:r>
    </w:p>
    <w:p>
      <w:pPr>
        <w:pStyle w:val="Compact"/>
        <w:numPr>
          <w:ilvl w:val="0"/>
          <w:numId w:val="1001"/>
        </w:numPr>
      </w:pPr>
      <w:r>
        <w:rPr>
          <w:sz w:val="22"/>
        </w:rPr>
        <w:t xml:space="preserve">Added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withdraw()</w:t>
      </w:r>
      <w:r>
        <w:rPr>
          <w:sz w:val="22"/>
        </w:rPr>
        <w:t xml:space="preserve"> </w:t>
      </w:r>
      <w:r>
        <w:rPr>
          <w:sz w:val="22"/>
        </w:rPr>
        <w:t xml:space="preserve">— deployer pulls accumulated SETH out of the</w:t>
      </w:r>
      <w:r>
        <w:rPr>
          <w:sz w:val="22"/>
        </w:rPr>
        <w:t xml:space="preserve"> </w:t>
      </w:r>
      <w:r>
        <w:rPr>
          <w:sz w:val="22"/>
        </w:rPr>
        <w:t xml:space="preserve">contract. Uses low-level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.call{value: balance}("")</w:t>
      </w:r>
      <w:r>
        <w:rPr>
          <w:sz w:val="22"/>
        </w:rPr>
        <w:t xml:space="preserve"> </w:t>
      </w:r>
      <w:r>
        <w:rPr>
          <w:sz w:val="22"/>
        </w:rPr>
        <w:t xml:space="preserve">instead of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.transfer()</w:t>
      </w:r>
      <w:r>
        <w:rPr>
          <w:sz w:val="22"/>
        </w:rPr>
        <w:t xml:space="preserve"> </w:t>
      </w:r>
      <w:r>
        <w:rPr>
          <w:sz w:val="22"/>
        </w:rPr>
        <w:t xml:space="preserve">to avoid the 2300 gas cap that breaks smart-contract</w:t>
      </w:r>
      <w:r>
        <w:rPr>
          <w:sz w:val="22"/>
        </w:rPr>
        <w:t xml:space="preserve"> </w:t>
      </w:r>
      <w:r>
        <w:rPr>
          <w:sz w:val="22"/>
        </w:rPr>
        <w:t xml:space="preserve">wallets. Emits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Withdrawn(deployer, amount)</w:t>
      </w:r>
      <w:r>
        <w:rPr>
          <w:sz w:val="22"/>
        </w:rPr>
        <w:t xml:space="preserve"> </w:t>
      </w:r>
      <w:r>
        <w:rPr>
          <w:sz w:val="22"/>
        </w:rPr>
        <w:t xml:space="preserve">event.</w:t>
      </w:r>
    </w:p>
    <w:p>
      <w:pPr>
        <w:pStyle w:val="Compact"/>
        <w:numPr>
          <w:ilvl w:val="0"/>
          <w:numId w:val="1001"/>
        </w:numPr>
      </w:pPr>
      <w:r>
        <w:rPr>
          <w:sz w:val="22"/>
        </w:rPr>
        <w:t xml:space="preserve">Added manual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nonReentrant</w:t>
      </w:r>
      <w:r>
        <w:rPr>
          <w:sz w:val="22"/>
        </w:rPr>
        <w:t xml:space="preserve"> </w:t>
      </w:r>
      <w:r>
        <w:rPr>
          <w:sz w:val="22"/>
        </w:rPr>
        <w:t xml:space="preserve">modifier (no OpenZeppelin import).</w:t>
      </w:r>
      <w:r>
        <w:rPr>
          <w:sz w:val="22"/>
        </w:rPr>
        <w:t xml:space="preserve"> </w:t>
      </w:r>
      <w:r>
        <w:rPr>
          <w:sz w:val="22"/>
        </w:rPr>
        <w:t xml:space="preserve">Uses constants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NOT_ENTERED = 1</w:t>
      </w:r>
      <w:r>
        <w:rPr>
          <w:sz w:val="22"/>
        </w:rPr>
        <w:t xml:space="preserve"> </w:t>
      </w:r>
      <w:r>
        <w:rPr>
          <w:sz w:val="22"/>
        </w:rPr>
        <w:t xml:space="preserve">/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ENTERED = 2</w:t>
      </w:r>
      <w:r>
        <w:rPr>
          <w:sz w:val="22"/>
        </w:rPr>
        <w:t xml:space="preserve"> </w:t>
      </w:r>
      <w:r>
        <w:rPr>
          <w:sz w:val="22"/>
        </w:rPr>
        <w:t xml:space="preserve">instead of 0/1</w:t>
      </w:r>
      <w:r>
        <w:rPr>
          <w:sz w:val="22"/>
        </w:rPr>
        <w:t xml:space="preserve"> </w:t>
      </w:r>
      <w:r>
        <w:rPr>
          <w:sz w:val="22"/>
        </w:rPr>
        <w:t xml:space="preserve">so every guarded call pays the cheaper warm SSTORE (5k gas) not</w:t>
      </w:r>
      <w:r>
        <w:rPr>
          <w:sz w:val="22"/>
        </w:rPr>
        <w:t xml:space="preserve"> </w:t>
      </w:r>
      <w:r>
        <w:rPr>
          <w:sz w:val="22"/>
        </w:rPr>
        <w:t xml:space="preserve">the cold 0-to-nonzero write (20k gas).</w:t>
      </w:r>
    </w:p>
    <w:p>
      <w:pPr>
        <w:pStyle w:val="Compact"/>
        <w:numPr>
          <w:ilvl w:val="0"/>
          <w:numId w:val="1001"/>
        </w:numPr>
      </w:pPr>
      <w:r>
        <w:rPr>
          <w:sz w:val="22"/>
        </w:rPr>
        <w:t xml:space="preserve">Applied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nonReentrant</w:t>
      </w:r>
      <w:r>
        <w:rPr>
          <w:sz w:val="22"/>
        </w:rPr>
        <w:t xml:space="preserve"> </w:t>
      </w:r>
      <w:r>
        <w:rPr>
          <w:sz w:val="22"/>
        </w:rPr>
        <w:t xml:space="preserve">to both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buyTicket</w:t>
      </w:r>
      <w:r>
        <w:rPr>
          <w:sz w:val="22"/>
        </w:rPr>
        <w:t xml:space="preserve"> </w:t>
      </w:r>
      <w:r>
        <w:rPr>
          <w:sz w:val="22"/>
        </w:rPr>
        <w:t xml:space="preserve">and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withdraw</w:t>
      </w:r>
      <w:r>
        <w:rPr>
          <w:sz w:val="22"/>
        </w:rPr>
        <w:t xml:space="preserve">.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withdraw</w:t>
      </w:r>
      <w:r>
        <w:rPr>
          <w:sz w:val="22"/>
        </w:rPr>
        <w:t xml:space="preserve"> </w:t>
      </w:r>
      <w:r>
        <w:rPr>
          <w:sz w:val="22"/>
        </w:rPr>
        <w:t xml:space="preserve">is the actual reentrancy vector;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buyTicket</w:t>
      </w:r>
      <w:r>
        <w:rPr>
          <w:sz w:val="22"/>
        </w:rPr>
        <w:t xml:space="preserve"> </w:t>
      </w:r>
      <w:r>
        <w:rPr>
          <w:sz w:val="22"/>
        </w:rPr>
        <w:t xml:space="preserve">is</w:t>
      </w:r>
      <w:r>
        <w:rPr>
          <w:sz w:val="22"/>
        </w:rPr>
        <w:t xml:space="preserve"> </w:t>
      </w:r>
      <w:r>
        <w:rPr>
          <w:sz w:val="22"/>
        </w:rPr>
        <w:t xml:space="preserve">defence-in-depth.</w:t>
      </w:r>
    </w:p>
    <w:p>
      <w:pPr>
        <w:pStyle w:val="Compact"/>
        <w:numPr>
          <w:ilvl w:val="0"/>
          <w:numId w:val="1001"/>
        </w:numPr>
      </w:pPr>
      <w:r>
        <w:rPr>
          <w:sz w:val="22"/>
        </w:rPr>
        <w:t xml:space="preserve">ticketPrice reduced from 0.01 SETH (V3) to 0.000001 SETH for</w:t>
      </w:r>
      <w:r>
        <w:rPr>
          <w:sz w:val="22"/>
        </w:rPr>
        <w:t xml:space="preserve"> </w:t>
      </w:r>
      <w:r>
        <w:rPr>
          <w:sz w:val="22"/>
        </w:rPr>
        <w:t xml:space="preserve">Sepolia testing economy. Contract logic is identical.</w:t>
      </w:r>
    </w:p>
    <w:bookmarkEnd w:id="15"/>
    <w:bookmarkStart w:id="17" w:name="contract-details"/>
    <w:p>
      <w:pPr>
        <w:pStyle w:val="Heading3"/>
      </w:pPr>
      <w:r>
        <w:rPr>
          <w:sz w:val="22"/>
        </w:rPr>
        <w:t xml:space="preserve">Contract details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Field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Value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Address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Constructor params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name=</w:t>
            </w:r>
            <w:r>
              <w:rPr>
                <w:rFonts w:ascii="Calibri" w:hAnsi="Calibri"/>
                <w:sz w:val="18"/>
              </w:rPr>
              <w:t xml:space="preserve">“TicketTokenV4”</w:t>
            </w:r>
            <w:r>
              <w:rPr>
                <w:rFonts w:ascii="Calibri" w:hAnsi="Calibri"/>
                <w:sz w:val="18"/>
              </w:rPr>
              <w:t xml:space="preserve">, symbol=</w:t>
            </w:r>
            <w:r>
              <w:rPr>
                <w:rFonts w:ascii="Calibri" w:hAnsi="Calibri"/>
                <w:sz w:val="18"/>
              </w:rPr>
              <w:t xml:space="preserve">“TKT”</w:t>
            </w:r>
            <w:r>
              <w:rPr>
                <w:rFonts w:ascii="Calibri" w:hAnsi="Calibri"/>
                <w:sz w:val="18"/>
              </w:rPr>
              <w:t xml:space="preserve">, initialSupply=100, ticketPrice=1000000000000 wei (0.000001 SETH)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State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bCs/>
                <w:sz w:val="18"/>
              </w:rPr>
              <w:t xml:space="preserve">Current production deployment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17"/>
    <w:bookmarkStart w:id="37" w:name="transaction-evidence"/>
    <w:p>
      <w:pPr>
        <w:pStyle w:val="Heading3"/>
      </w:pPr>
      <w:r>
        <w:rPr>
          <w:sz w:val="22"/>
        </w:rPr>
        <w:t xml:space="preserve">Transaction evidence</w:t>
      </w:r>
    </w:p>
    <w:bookmarkStart w:id="20" w:name="deployment"/>
    <w:p>
      <w:pPr>
        <w:pStyle w:val="Heading4"/>
      </w:pPr>
      <w:r>
        <w:rPr>
          <w:sz w:val="22"/>
        </w:rPr>
        <w:t xml:space="preserve">1. Deployment</w:t>
      </w:r>
    </w:p>
    <w:p>
      <w:pPr>
        <w:pStyle w:val="FirstParagraph"/>
      </w:pPr>
      <w:r>
        <w:rPr>
          <w:sz w:val="22"/>
        </w:rPr>
        <w:t xml:space="preserve">Constructor minted 100 tickets (100 × 10^18 token units) to the</w:t>
      </w:r>
      <w:r>
        <w:rPr>
          <w:sz w:val="22"/>
        </w:rPr>
        <w:t xml:space="preserve"> </w:t>
      </w:r>
      <w:r>
        <w:rPr>
          <w:sz w:val="22"/>
        </w:rPr>
        <w:t xml:space="preserve">deployer and emitted Transfer from address(0).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18">
              <w:r>
                <w:rPr>
                  <w:rStyle w:val="Hyperlink"/>
                </w:rPr>
                <w:t xml:space="preserve">0x85786fc20431c6ac55e740b2a8b45d02fa99c0c6602e0516a2d86e96ee599916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9">
              <w:r>
                <w:rPr>
                  <w:rStyle w:val="Hyperlink"/>
                </w:rPr>
                <w:t xml:space="preserve">0x4c6A154131C03f5A60BEA08Ae2099f420145c3dB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(deployer)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Block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10806852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✅ Success</w:t>
            </w:r>
          </w:p>
        </w:tc>
      </w:tr>
    </w:tbl>
    <w:bookmarkEnd w:id="20"/>
    <w:bookmarkStart w:id="22" w:name="approve-setup"/>
    <w:p>
      <w:pPr>
        <w:pStyle w:val="Heading4"/>
      </w:pPr>
      <w:r>
        <w:rPr>
          <w:sz w:val="22"/>
        </w:rPr>
        <w:t xml:space="preserve">2. Approve setup</w:t>
      </w:r>
    </w:p>
    <w:p>
      <w:pPr>
        <w:pStyle w:val="FirstParagraph"/>
      </w:pPr>
      <w:r>
        <w:rPr>
          <w:sz w:val="22"/>
        </w:rPr>
        <w:t xml:space="preserve">Deployer authorised the contract to move tickets from the deployer’s</w:t>
      </w:r>
      <w:r>
        <w:rPr>
          <w:sz w:val="22"/>
        </w:rPr>
        <w:t xml:space="preserve"> </w:t>
      </w:r>
      <w:r>
        <w:rPr>
          <w:sz w:val="22"/>
        </w:rPr>
        <w:t xml:space="preserve">wallet on behalf of buyers. Without this transaction every call to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buyTicket()</w:t>
      </w:r>
      <w:r>
        <w:rPr>
          <w:sz w:val="22"/>
        </w:rPr>
        <w:t xml:space="preserve"> </w:t>
      </w:r>
      <w:r>
        <w:rPr>
          <w:sz w:val="22"/>
        </w:rPr>
        <w:t xml:space="preserve">reverts with</w:t>
      </w:r>
      <w:r>
        <w:rPr>
          <w:sz w:val="22"/>
        </w:rPr>
        <w:t xml:space="preserve"> </w:t>
      </w:r>
      <w:r>
        <w:rPr>
          <w:sz w:val="22"/>
        </w:rPr>
        <w:t xml:space="preserve">“no tickets available”</w:t>
      </w:r>
      <w:r>
        <w:rPr>
          <w:sz w:val="22"/>
        </w:rPr>
        <w:t xml:space="preserve">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21">
              <w:r>
                <w:rPr>
                  <w:rStyle w:val="Hyperlink"/>
                </w:rPr>
                <w:t xml:space="preserve">0xeef8cc3f327efad7e831b510014c94529fd53557d3a32ee1a1714ba29b05463f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9">
              <w:r>
                <w:rPr>
                  <w:rStyle w:val="Hyperlink"/>
                </w:rPr>
                <w:t xml:space="preserve">0x4c6A154131C03f5A60BEA08Ae2099f420145c3dB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(deployer)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(contract)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✅ Success</w:t>
            </w:r>
          </w:p>
        </w:tc>
      </w:tr>
    </w:tbl>
    <w:bookmarkEnd w:id="22"/>
    <w:bookmarkStart w:id="24" w:name="successful-buyticket-via-remix"/>
    <w:p>
      <w:pPr>
        <w:pStyle w:val="Heading4"/>
      </w:pPr>
      <w:r>
        <w:rPr>
          <w:sz w:val="22"/>
        </w:rPr>
        <w:t xml:space="preserve">3. Successful buyTicket — via Remix</w:t>
      </w:r>
    </w:p>
    <w:p>
      <w:pPr>
        <w:pStyle w:val="FirstParagraph"/>
      </w:pPr>
      <w:r>
        <w:rPr>
          <w:sz w:val="22"/>
        </w:rPr>
        <w:t xml:space="preserve">Early test buy done directly via Remix during V4 contract testing.</w:t>
      </w:r>
      <w:r>
        <w:rPr>
          <w:sz w:val="22"/>
        </w:rPr>
        <w:t xml:space="preserve"> </w:t>
      </w:r>
      <w:r>
        <w:rPr>
          <w:sz w:val="22"/>
        </w:rPr>
        <w:t xml:space="preserve">Proves the contract-level buy flow works independently of the</w:t>
      </w:r>
      <w:r>
        <w:rPr>
          <w:sz w:val="22"/>
        </w:rPr>
        <w:t xml:space="preserve"> </w:t>
      </w:r>
      <w:r>
        <w:rPr>
          <w:sz w:val="22"/>
        </w:rPr>
        <w:t xml:space="preserve">frontend.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23">
              <w:r>
                <w:rPr>
                  <w:rStyle w:val="Hyperlink"/>
                </w:rPr>
                <w:t xml:space="preserve">0x0f431f7d52cb1b2be1f95aa045e067dd9194677d69b88af582cae6b5722b5669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9">
              <w:r>
                <w:rPr>
                  <w:rStyle w:val="Hyperlink"/>
                </w:rPr>
                <w:t xml:space="preserve">0x4c6A154131C03f5A60BEA08Ae2099f420145c3dB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(deployer)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(contract)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✅ Success</w:t>
            </w:r>
          </w:p>
        </w:tc>
      </w:tr>
    </w:tbl>
    <w:bookmarkEnd w:id="24"/>
    <w:bookmarkStart w:id="27" w:name="successful-buyticket-via-frontend"/>
    <w:p>
      <w:pPr>
        <w:pStyle w:val="Heading4"/>
      </w:pPr>
      <w:r>
        <w:rPr>
          <w:sz w:val="22"/>
        </w:rPr>
        <w:t xml:space="preserve">4. Successful buyTicket — via frontend</w:t>
      </w:r>
    </w:p>
    <w:p>
      <w:pPr>
        <w:pStyle w:val="FirstParagraph"/>
      </w:pPr>
      <w:r>
        <w:rPr>
          <w:sz w:val="22"/>
        </w:rPr>
        <w:t xml:space="preserve">Buy completed through buy.html. Keystore wallet unlocked locally via</w:t>
      </w:r>
      <w:r>
        <w:rPr>
          <w:sz w:val="22"/>
        </w:rPr>
        <w:t xml:space="preserve"> </w:t>
      </w:r>
      <w:r>
        <w:rPr>
          <w:sz w:val="22"/>
        </w:rPr>
        <w:t xml:space="preserve">web3.eth.accounts.decrypt, transaction signed client-side, broadcast</w:t>
      </w:r>
      <w:r>
        <w:rPr>
          <w:sz w:val="22"/>
        </w:rPr>
        <w:t xml:space="preserve"> </w:t>
      </w:r>
      <w:r>
        <w:rPr>
          <w:sz w:val="22"/>
        </w:rPr>
        <w:t xml:space="preserve">to Sepolia. Proves the full frontend stack works end-to-end.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25">
              <w:r>
                <w:rPr>
                  <w:rStyle w:val="Hyperlink"/>
                </w:rPr>
                <w:t xml:space="preserve">0x6023dd36578f0c0fddaebaed32d5d689d19fdc0fe26c9827b2a5f89e7f97f4d4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26">
              <w:r>
                <w:rPr>
                  <w:rStyle w:val="Hyperlink"/>
                </w:rPr>
                <w:t xml:space="preserve">0x75F3d75BC22A7A06fa7825556665a7E69790E68a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(keystore buyer)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(contract)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✅ Success</w:t>
            </w:r>
          </w:p>
        </w:tc>
      </w:tr>
    </w:tbl>
    <w:bookmarkEnd w:id="27"/>
    <w:bookmarkStart w:id="29" w:name="successful-transfer-via-frontend"/>
    <w:p>
      <w:pPr>
        <w:pStyle w:val="Heading4"/>
      </w:pPr>
      <w:r>
        <w:rPr>
          <w:sz w:val="22"/>
        </w:rPr>
        <w:t xml:space="preserve">5. Successful transfer — via frontend</w:t>
      </w:r>
    </w:p>
    <w:p>
      <w:pPr>
        <w:pStyle w:val="FirstParagraph"/>
      </w:pPr>
      <w:r>
        <w:rPr>
          <w:sz w:val="22"/>
        </w:rPr>
        <w:t xml:space="preserve">Ticket transferred back to vendor (deployer) using transfer.html.</w:t>
      </w:r>
      <w:r>
        <w:rPr>
          <w:sz w:val="22"/>
        </w:rPr>
        <w:t xml:space="preserve"> </w:t>
      </w:r>
      <w:r>
        <w:rPr>
          <w:sz w:val="22"/>
        </w:rPr>
        <w:t xml:space="preserve">Same keystore wallet unlocked, ERC-20 transfer() called with</w:t>
      </w:r>
      <w:r>
        <w:rPr>
          <w:sz w:val="22"/>
        </w:rPr>
        <w:t xml:space="preserve"> </w:t>
      </w:r>
      <w:r>
        <w:rPr>
          <w:sz w:val="22"/>
        </w:rPr>
        <w:t xml:space="preserve">DEPLOYER_ADDRESS as recipient. Buyer ticket balance dropped from</w:t>
      </w:r>
      <w:r>
        <w:rPr>
          <w:sz w:val="22"/>
        </w:rPr>
        <w:t xml:space="preserve"> </w:t>
      </w:r>
      <w:r>
        <w:rPr>
          <w:sz w:val="22"/>
        </w:rPr>
        <w:t xml:space="preserve">1 to 0; deployer balance increased by 1.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28">
              <w:r>
                <w:rPr>
                  <w:rStyle w:val="Hyperlink"/>
                </w:rPr>
                <w:t xml:space="preserve">0x7d55e4b6cd28101fd5a5fc506622885ea46e440c630c3610813ddb110456236e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26">
              <w:r>
                <w:rPr>
                  <w:rStyle w:val="Hyperlink"/>
                </w:rPr>
                <w:t xml:space="preserve">0x75F3d75BC22A7A06fa7825556665a7E69790E68a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(keystore buyer)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(contract)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✅ Success</w:t>
            </w:r>
          </w:p>
        </w:tc>
      </w:tr>
    </w:tbl>
    <w:bookmarkEnd w:id="29"/>
    <w:bookmarkStart w:id="31" w:name="successful-withdraw"/>
    <w:p>
      <w:pPr>
        <w:pStyle w:val="Heading4"/>
      </w:pPr>
      <w:r>
        <w:rPr>
          <w:sz w:val="22"/>
        </w:rPr>
        <w:t xml:space="preserve">6. Successful withdraw</w:t>
      </w:r>
    </w:p>
    <w:p>
      <w:pPr>
        <w:pStyle w:val="FirstParagraph"/>
      </w:pPr>
      <w:r>
        <w:rPr>
          <w:sz w:val="22"/>
        </w:rPr>
        <w:t xml:space="preserve">Deployer called withdraw() to pull accumulated SETH from ticket sales</w:t>
      </w:r>
      <w:r>
        <w:rPr>
          <w:sz w:val="22"/>
        </w:rPr>
        <w:t xml:space="preserve"> </w:t>
      </w:r>
      <w:r>
        <w:rPr>
          <w:sz w:val="22"/>
        </w:rPr>
        <w:t xml:space="preserve">out of the contract. Contract balance dropped to 0; deployer received</w:t>
      </w:r>
      <w:r>
        <w:rPr>
          <w:sz w:val="22"/>
        </w:rPr>
        <w:t xml:space="preserve"> </w:t>
      </w:r>
      <w:r>
        <w:rPr>
          <w:sz w:val="22"/>
        </w:rPr>
        <w:t xml:space="preserve">0.000005 SETH (5 test buys × 0.000001 SETH each).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30">
              <w:r>
                <w:rPr>
                  <w:rStyle w:val="Hyperlink"/>
                </w:rPr>
                <w:t xml:space="preserve">0xd60ae875c55dc3d41331a1e1df99c234bcdc6bc842dacd9b599d05975e6f5ebd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9">
              <w:r>
                <w:rPr>
                  <w:rStyle w:val="Hyperlink"/>
                </w:rPr>
                <w:t xml:space="preserve">0x4c6A154131C03f5A60BEA08Ae2099f420145c3dB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(deployer)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(contract)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✅ Success</w:t>
            </w:r>
          </w:p>
        </w:tc>
      </w:tr>
    </w:tbl>
    <w:bookmarkEnd w:id="31"/>
    <w:bookmarkStart w:id="34" w:name="buy-revert-incorrect-payment"/>
    <w:p>
      <w:pPr>
        <w:pStyle w:val="Heading4"/>
      </w:pPr>
      <w:r>
        <w:rPr>
          <w:sz w:val="22"/>
        </w:rPr>
        <w:t xml:space="preserve">7. Buy revert — incorrect payment</w:t>
      </w:r>
    </w:p>
    <w:p>
      <w:pPr>
        <w:pStyle w:val="FirstParagraph"/>
      </w:pPr>
      <w:r>
        <w:rPr>
          <w:sz w:val="22"/>
        </w:rPr>
        <w:t xml:space="preserve">Deliberately sent 500000000000 wei (half the ticket price) to prove</w:t>
      </w:r>
      <w:r>
        <w:rPr>
          <w:sz w:val="22"/>
        </w:rPr>
        <w:t xml:space="preserve"> </w:t>
      </w:r>
      <w:r>
        <w:rPr>
          <w:sz w:val="22"/>
        </w:rPr>
        <w:t xml:space="preserve">the contract rejects underpayment.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32">
              <w:r>
                <w:rPr>
                  <w:rStyle w:val="Hyperlink"/>
                </w:rPr>
                <w:t xml:space="preserve">0x76092608463a44c80744d96cf0e5b37ca7b2642164949ccf83002c084b8a496b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33">
              <w:r>
                <w:rPr>
                  <w:rStyle w:val="Hyperlink"/>
                </w:rPr>
                <w:t xml:space="preserve">0x31447Cb490216109B1D49096793A3a4268827FfB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(purchaser)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(contract)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❌ Fail 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TicketToken: incorrect payment</w:t>
            </w:r>
          </w:p>
        </w:tc>
      </w:tr>
    </w:tbl>
    <w:bookmarkEnd w:id="34"/>
    <w:bookmarkStart w:id="36" w:name="withdraw-revert-non-deployer-caller"/>
    <w:p>
      <w:pPr>
        <w:pStyle w:val="Heading4"/>
      </w:pPr>
      <w:r>
        <w:rPr>
          <w:sz w:val="22"/>
        </w:rPr>
        <w:t xml:space="preserve">8. Withdraw revert — non-deployer caller</w:t>
      </w:r>
    </w:p>
    <w:p>
      <w:pPr>
        <w:pStyle w:val="FirstParagraph"/>
      </w:pPr>
      <w:r>
        <w:rPr>
          <w:sz w:val="22"/>
        </w:rPr>
        <w:t xml:space="preserve">Purchaser attempted to call withdraw() to confirm access control.</w:t>
      </w:r>
      <w:r>
        <w:rPr>
          <w:sz w:val="22"/>
        </w:rPr>
        <w:t xml:space="preserve"> </w:t>
      </w:r>
      <w:r>
        <w:rPr>
          <w:sz w:val="22"/>
        </w:rPr>
        <w:t xml:space="preserve">Only the deployer can withdraw.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Tx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35">
              <w:r>
                <w:rPr>
                  <w:rStyle w:val="Hyperlink"/>
                </w:rPr>
                <w:t xml:space="preserve">0xa289f3421cbaa958505f9a5390a7ac9f74540e2daeaa42996f1d2d262dd36c72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From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33">
              <w:r>
                <w:rPr>
                  <w:rStyle w:val="Hyperlink"/>
                </w:rPr>
                <w:t xml:space="preserve">0x31447Cb490216109B1D49096793A3a4268827FfB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(purchaser)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6">
              <w:r>
                <w:rPr>
                  <w:rStyle w:val="Hyperlink"/>
                </w:rPr>
                <w:t xml:space="preserve">0x705D6c204a755e51b517bBA9124e3F23Dc9F88C2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(contract)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Status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❌ Fail 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TicketToken: only deployer</w:t>
            </w:r>
          </w:p>
        </w:tc>
      </w:tr>
    </w:tbl>
    <w:p>
      <w:r>
        <w:rPr>
          <w:sz w:val="22"/>
        </w:rP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wallet-addresses"/>
    <w:p>
      <w:pPr>
        <w:pStyle w:val="Heading2"/>
      </w:pPr>
      <w:r>
        <w:rPr>
          <w:sz w:val="22"/>
        </w:rPr>
        <w:t xml:space="preserve">Wallet addresses</w:t>
      </w:r>
    </w:p>
    <w:bookmarkStart w:id="39" w:name="deployer"/>
    <w:p>
      <w:pPr>
        <w:pStyle w:val="Heading3"/>
      </w:pPr>
      <w:r>
        <w:rPr>
          <w:sz w:val="22"/>
        </w:rPr>
        <w:t xml:space="preserve">Deployer</w:t>
      </w:r>
    </w:p>
    <w:p>
      <w:pPr>
        <w:pStyle w:val="FirstParagraph"/>
      </w:pPr>
      <w:r>
        <w:rPr>
          <w:sz w:val="22"/>
        </w:rPr>
        <w:t xml:space="preserve">Deployed the contract and holds the full ticket supply. Also acts as</w:t>
      </w:r>
      <w:r>
        <w:rPr>
          <w:sz w:val="22"/>
        </w:rPr>
        <w:t xml:space="preserve"> </w:t>
      </w:r>
      <w:r>
        <w:rPr>
          <w:sz w:val="22"/>
        </w:rPr>
        <w:t xml:space="preserve">vendor — receives transferred tickets and SETH revenue via withdraw().</w:t>
      </w:r>
      <w:r>
        <w:rPr>
          <w:sz w:val="22"/>
        </w:rPr>
        <w:t xml:space="preserve"> </w:t>
      </w:r>
      <w:r>
        <w:rPr>
          <w:sz w:val="22"/>
        </w:rPr>
        <w:t xml:space="preserve">Funded via Sepolia faucet prior to deployment; wallet activity</w:t>
      </w:r>
      <w:r>
        <w:rPr>
          <w:sz w:val="22"/>
        </w:rPr>
        <w:t xml:space="preserve"> </w:t>
      </w:r>
      <w:r>
        <w:rPr>
          <w:sz w:val="22"/>
        </w:rPr>
        <w:t xml:space="preserve">confirms funding via deployment tx above.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Address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19">
              <w:r>
                <w:rPr>
                  <w:rStyle w:val="Hyperlink"/>
                </w:rPr>
                <w:t xml:space="preserve">0x4c6A154131C03f5A60BEA08Ae2099f420145c3dB</w:t>
              </w:r>
            </w:hyperlink>
          </w:p>
        </w:tc>
      </w:tr>
    </w:tbl>
    <w:bookmarkEnd w:id="39"/>
    <w:bookmarkStart w:id="41" w:name="keystore-buyer"/>
    <w:p>
      <w:pPr>
        <w:pStyle w:val="Heading3"/>
      </w:pPr>
      <w:r>
        <w:rPr>
          <w:sz w:val="22"/>
        </w:rPr>
        <w:t xml:space="preserve">Keystore buyer</w:t>
      </w:r>
    </w:p>
    <w:p>
      <w:pPr>
        <w:pStyle w:val="FirstParagraph"/>
      </w:pPr>
      <w:r>
        <w:rPr>
          <w:sz w:val="22"/>
        </w:rPr>
        <w:t xml:space="preserve">Generated via the create-wallet page. Used to test the buy and</w:t>
      </w:r>
      <w:r>
        <w:rPr>
          <w:sz w:val="22"/>
        </w:rPr>
        <w:t xml:space="preserve"> </w:t>
      </w:r>
      <w:r>
        <w:rPr>
          <w:sz w:val="22"/>
        </w:rPr>
        <w:t xml:space="preserve">transfer frontend flows end-to-end.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Address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26">
              <w:r>
                <w:rPr>
                  <w:rStyle w:val="Hyperlink"/>
                </w:rPr>
                <w:t xml:space="preserve">0x75F3d75BC22A7A06fa7825556665a7E69790E68a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Top-up tx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40">
              <w:r>
                <w:rPr>
                  <w:rStyle w:val="Hyperlink"/>
                </w:rPr>
                <w:t xml:space="preserve">0x06e09c8f8e2ca08746ddf987e362f5375313afbbe678e187a9a7a551be39c1cd</w:t>
              </w:r>
            </w:hyperlink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Amount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0.03 SETH</w:t>
            </w:r>
          </w:p>
        </w:tc>
      </w:tr>
      <w:tr>
        <w:tc>
          <w:tcPr>
            <w:vAlign w:val="center"/>
            <w:tcW w:w="2232" w:type="dxa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sz w:val="18"/>
              </w:rPr>
              <w:t xml:space="preserve">Funded by</w:t>
            </w:r>
          </w:p>
        </w:tc>
        <w:tc>
          <w:tcPr>
            <w:vAlign w:val="center"/>
            <w:tcW w:w="7128" w:type="dxa"/>
          </w:tcPr>
          <w:p>
            <w:pPr>
              <w:pStyle w:val="Compact"/>
              <w:spacing w:after="40" w:line="240" w:lineRule="auto"/>
            </w:pPr>
            <w:hyperlink r:id="rId19">
              <w:r>
                <w:rPr>
                  <w:rStyle w:val="Hyperlink"/>
                </w:rPr>
                <w:t xml:space="preserve">0x4c6A154131C03f5A60BEA08Ae2099f420145c3dB</w:t>
              </w:r>
            </w:hyperlink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(deployer)</w:t>
            </w:r>
          </w:p>
        </w:tc>
      </w:tr>
    </w:tbl>
    <w:bookmarkEnd w:id="41"/>
    <w:bookmarkStart w:id="42" w:name="vendor-doorman"/>
    <w:p>
      <w:pPr>
        <w:pStyle w:val="Heading3"/>
      </w:pPr>
      <w:r>
        <w:rPr>
          <w:sz w:val="22"/>
        </w:rPr>
        <w:t xml:space="preserve">Vendor / doorman</w:t>
      </w:r>
    </w:p>
    <w:p>
      <w:pPr>
        <w:pStyle w:val="FirstParagraph"/>
      </w:pPr>
      <w:r>
        <w:rPr>
          <w:sz w:val="22"/>
        </w:rPr>
        <w:t xml:space="preserve">The vendor is the deployer in this single-event design. The deployer</w:t>
      </w:r>
      <w:r>
        <w:rPr>
          <w:sz w:val="22"/>
        </w:rPr>
        <w:t xml:space="preserve"> </w:t>
      </w:r>
      <w:r>
        <w:rPr>
          <w:sz w:val="22"/>
        </w:rPr>
        <w:t xml:space="preserve">receives transferred tickets and SETH revenue via withdraw(). This</w:t>
      </w:r>
      <w:r>
        <w:rPr>
          <w:sz w:val="22"/>
        </w:rPr>
        <w:t xml:space="preserve"> </w:t>
      </w:r>
      <w:r>
        <w:rPr>
          <w:sz w:val="22"/>
        </w:rPr>
        <w:t xml:space="preserve">decision is justified in the report’s design section.</w:t>
      </w:r>
    </w:p>
    <w:tbl>
      <w:tblPr>
        <w:tblStyle w:val="Table"/>
        <w:tblW w:type="dxa" w:w="9360"/>
        <w:tblLayout w:type="fixed"/>
        <w:tblLook w:firstRow="0" w:lastRow="0" w:firstColumn="0" w:lastColumn="0" w:noHBand="0" w:noVBand="0" w:val="000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w="2232" w:type="dxa"/>
            <w:shd w:fill="F2F4F7"/>
          </w:tcPr>
          <w:p>
            <w:pPr>
              <w:pStyle w:val="Compact"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 xml:space="preserve">Address</w:t>
            </w:r>
          </w:p>
        </w:tc>
        <w:tc>
          <w:tcPr>
            <w:vAlign w:val="center"/>
            <w:tcW w:w="7128" w:type="dxa"/>
            <w:shd w:fill="F2F4F7"/>
          </w:tcPr>
          <w:p>
            <w:pPr>
              <w:pStyle w:val="Compact"/>
              <w:spacing w:after="40" w:line="240" w:lineRule="auto"/>
            </w:pPr>
            <w:hyperlink r:id="rId19">
              <w:r>
                <w:rPr>
                  <w:rStyle w:val="Hyperlink"/>
                </w:rPr>
                <w:t xml:space="preserve">0x4c6A154131C03f5A60BEA08Ae2099f420145c3dB</w:t>
              </w:r>
            </w:hyperlink>
          </w:p>
        </w:tc>
      </w:tr>
    </w:tbl>
    <w:bookmarkEnd w:id="42"/>
    <w:bookmarkEnd w:id="43"/>
    <w:bookmarkEnd w:id="44"/>
    <w:sectPr>
      <w:footnotePr>
        <w:numRestart w:val="eachSect"/>
      </w:footnote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4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cstheme="majorBidi" w:eastAsiaTheme="majorEastAsia" w:hAnsiTheme="majorHAnsi" w:ascii="Calibri" w:hAnsi="Calibri"/>
      <w:color w:val="1F4D78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00"/>
      <w:outlineLvl w:val="0"/>
    </w:pPr>
    <w:rPr>
      <w:rFonts w:asciiTheme="majorHAnsi" w:cstheme="majorBidi" w:eastAsiaTheme="majorEastAsia" w:hAnsiTheme="majorHAnsi" w:ascii="Calibri" w:hAnsi="Calibri"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Calibri" w:hAnsi="Calibri"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cstheme="majorBidi" w:eastAsiaTheme="majorEastAsia" w:ascii="Calibri" w:hAnsi="Calibri"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sepolia.etherscan.io/address/0x04c7aA0AaFE789F10bC239383839469DA74FdB59" TargetMode="External"/><Relationship Id="rId33" Type="http://schemas.openxmlformats.org/officeDocument/2006/relationships/hyperlink" Target="https://sepolia.etherscan.io/address/0x31447Cb490216109B1D49096793A3a4268827FfB" TargetMode="External"/><Relationship Id="rId19" Type="http://schemas.openxmlformats.org/officeDocument/2006/relationships/hyperlink" Target="https://sepolia.etherscan.io/address/0x4c6A154131C03f5A60BEA08Ae2099f420145c3dB" TargetMode="External"/><Relationship Id="rId16" Type="http://schemas.openxmlformats.org/officeDocument/2006/relationships/hyperlink" Target="https://sepolia.etherscan.io/address/0x705D6c204a755e51b517bBA9124e3F23Dc9F88C2" TargetMode="External"/><Relationship Id="rId26" Type="http://schemas.openxmlformats.org/officeDocument/2006/relationships/hyperlink" Target="https://sepolia.etherscan.io/address/0x75F3d75BC22A7A06fa7825556665a7E69790E68a" TargetMode="External"/><Relationship Id="rId10" Type="http://schemas.openxmlformats.org/officeDocument/2006/relationships/hyperlink" Target="https://sepolia.etherscan.io/address/0xd8b934580fcE35a11B58C6D73aDeE468a2833fa8" TargetMode="External"/><Relationship Id="rId40" Type="http://schemas.openxmlformats.org/officeDocument/2006/relationships/hyperlink" Target="https://sepolia.etherscan.io/tx/0x06e09c8f8e2ca08746ddf987e362f5375313afbbe678e187a9a7a551be39c1cd" TargetMode="External"/><Relationship Id="rId23" Type="http://schemas.openxmlformats.org/officeDocument/2006/relationships/hyperlink" Target="https://sepolia.etherscan.io/tx/0x0f431f7d52cb1b2be1f95aa045e067dd9194677d69b88af582cae6b5722b5669" TargetMode="External"/><Relationship Id="rId13" Type="http://schemas.openxmlformats.org/officeDocument/2006/relationships/hyperlink" Target="https://sepolia.etherscan.io/tx/0x47f4b755f3d8317b9726e425519cdb619c59d64358eea2679d7f1f842db17217" TargetMode="External"/><Relationship Id="rId25" Type="http://schemas.openxmlformats.org/officeDocument/2006/relationships/hyperlink" Target="https://sepolia.etherscan.io/tx/0x6023dd36578f0c0fddaebaed32d5d689d19fdc0fe26c9827b2a5f89e7f97f4d4" TargetMode="External"/><Relationship Id="rId32" Type="http://schemas.openxmlformats.org/officeDocument/2006/relationships/hyperlink" Target="https://sepolia.etherscan.io/tx/0x76092608463a44c80744d96cf0e5b37ca7b2642164949ccf83002c084b8a496b" TargetMode="External"/><Relationship Id="rId28" Type="http://schemas.openxmlformats.org/officeDocument/2006/relationships/hyperlink" Target="https://sepolia.etherscan.io/tx/0x7d55e4b6cd28101fd5a5fc506622885ea46e440c630c3610813ddb110456236e" TargetMode="External"/><Relationship Id="rId18" Type="http://schemas.openxmlformats.org/officeDocument/2006/relationships/hyperlink" Target="https://sepolia.etherscan.io/tx/0x85786fc20431c6ac55e740b2a8b45d02fa99c0c6602e0516a2d86e96ee599916" TargetMode="External"/><Relationship Id="rId35" Type="http://schemas.openxmlformats.org/officeDocument/2006/relationships/hyperlink" Target="https://sepolia.etherscan.io/tx/0xa289f3421cbaa958505f9a5390a7ac9f74540e2daeaa42996f1d2d262dd36c72" TargetMode="External"/><Relationship Id="rId30" Type="http://schemas.openxmlformats.org/officeDocument/2006/relationships/hyperlink" Target="https://sepolia.etherscan.io/tx/0xd60ae875c55dc3d41331a1e1df99c234bcdc6bc842dacd9b599d05975e6f5ebd" TargetMode="External"/><Relationship Id="rId21" Type="http://schemas.openxmlformats.org/officeDocument/2006/relationships/hyperlink" Target="https://sepolia.etherscan.io/tx/0xeef8cc3f327efad7e831b510014c94529fd53557d3a32ee1a1714ba29b05463f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sepolia.etherscan.io/address/0x04c7aA0AaFE789F10bC239383839469DA74FdB59" TargetMode="External"/><Relationship Id="rId33" Type="http://schemas.openxmlformats.org/officeDocument/2006/relationships/hyperlink" Target="https://sepolia.etherscan.io/address/0x31447Cb490216109B1D49096793A3a4268827FfB" TargetMode="External"/><Relationship Id="rId19" Type="http://schemas.openxmlformats.org/officeDocument/2006/relationships/hyperlink" Target="https://sepolia.etherscan.io/address/0x4c6A154131C03f5A60BEA08Ae2099f420145c3dB" TargetMode="External"/><Relationship Id="rId16" Type="http://schemas.openxmlformats.org/officeDocument/2006/relationships/hyperlink" Target="https://sepolia.etherscan.io/address/0x705D6c204a755e51b517bBA9124e3F23Dc9F88C2" TargetMode="External"/><Relationship Id="rId26" Type="http://schemas.openxmlformats.org/officeDocument/2006/relationships/hyperlink" Target="https://sepolia.etherscan.io/address/0x75F3d75BC22A7A06fa7825556665a7E69790E68a" TargetMode="External"/><Relationship Id="rId10" Type="http://schemas.openxmlformats.org/officeDocument/2006/relationships/hyperlink" Target="https://sepolia.etherscan.io/address/0xd8b934580fcE35a11B58C6D73aDeE468a2833fa8" TargetMode="External"/><Relationship Id="rId40" Type="http://schemas.openxmlformats.org/officeDocument/2006/relationships/hyperlink" Target="https://sepolia.etherscan.io/tx/0x06e09c8f8e2ca08746ddf987e362f5375313afbbe678e187a9a7a551be39c1cd" TargetMode="External"/><Relationship Id="rId23" Type="http://schemas.openxmlformats.org/officeDocument/2006/relationships/hyperlink" Target="https://sepolia.etherscan.io/tx/0x0f431f7d52cb1b2be1f95aa045e067dd9194677d69b88af582cae6b5722b5669" TargetMode="External"/><Relationship Id="rId13" Type="http://schemas.openxmlformats.org/officeDocument/2006/relationships/hyperlink" Target="https://sepolia.etherscan.io/tx/0x47f4b755f3d8317b9726e425519cdb619c59d64358eea2679d7f1f842db17217" TargetMode="External"/><Relationship Id="rId25" Type="http://schemas.openxmlformats.org/officeDocument/2006/relationships/hyperlink" Target="https://sepolia.etherscan.io/tx/0x6023dd36578f0c0fddaebaed32d5d689d19fdc0fe26c9827b2a5f89e7f97f4d4" TargetMode="External"/><Relationship Id="rId32" Type="http://schemas.openxmlformats.org/officeDocument/2006/relationships/hyperlink" Target="https://sepolia.etherscan.io/tx/0x76092608463a44c80744d96cf0e5b37ca7b2642164949ccf83002c084b8a496b" TargetMode="External"/><Relationship Id="rId28" Type="http://schemas.openxmlformats.org/officeDocument/2006/relationships/hyperlink" Target="https://sepolia.etherscan.io/tx/0x7d55e4b6cd28101fd5a5fc506622885ea46e440c630c3610813ddb110456236e" TargetMode="External"/><Relationship Id="rId18" Type="http://schemas.openxmlformats.org/officeDocument/2006/relationships/hyperlink" Target="https://sepolia.etherscan.io/tx/0x85786fc20431c6ac55e740b2a8b45d02fa99c0c6602e0516a2d86e96ee599916" TargetMode="External"/><Relationship Id="rId35" Type="http://schemas.openxmlformats.org/officeDocument/2006/relationships/hyperlink" Target="https://sepolia.etherscan.io/tx/0xa289f3421cbaa958505f9a5390a7ac9f74540e2daeaa42996f1d2d262dd36c72" TargetMode="External"/><Relationship Id="rId30" Type="http://schemas.openxmlformats.org/officeDocument/2006/relationships/hyperlink" Target="https://sepolia.etherscan.io/tx/0xd60ae875c55dc3d41331a1e1df99c234bcdc6bc842dacd9b599d05975e6f5ebd" TargetMode="External"/><Relationship Id="rId21" Type="http://schemas.openxmlformats.org/officeDocument/2006/relationships/hyperlink" Target="https://sepolia.etherscan.io/tx/0xeef8cc3f327efad7e831b510014c94529fd53557d3a32ee1a1714ba29b05463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Sepolia Deployment History</dc:title>
  <dc:creator/>
  <cp:keywords/>
  <dcterms:created xsi:type="dcterms:W3CDTF">2026-05-15T13:34:08Z</dcterms:created>
  <dcterms:modified xsi:type="dcterms:W3CDTF">2026-05-15T13:34:08Z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