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362"/>
      </w:tblGrid>
      <w:tr w:rsidR="00E945B1" w:rsidRPr="001B701A" w14:paraId="420D1ABA" w14:textId="77777777">
        <w:tc>
          <w:tcPr>
            <w:tcW w:w="1701" w:type="dxa"/>
            <w:tcBorders>
              <w:top w:val="single" w:sz="4" w:space="0" w:color="000000"/>
              <w:left w:val="single" w:sz="4" w:space="0" w:color="000000"/>
              <w:bottom w:val="single" w:sz="4" w:space="0" w:color="000000"/>
              <w:right w:val="single" w:sz="4" w:space="0" w:color="000000"/>
            </w:tcBorders>
          </w:tcPr>
          <w:p w14:paraId="6BEBEAF1" w14:textId="77777777" w:rsidR="00E945B1" w:rsidRPr="001B701A" w:rsidRDefault="00000000">
            <w:pPr>
              <w:spacing w:after="0" w:line="240" w:lineRule="auto"/>
              <w:jc w:val="both"/>
            </w:pPr>
            <w:r w:rsidRPr="001B701A">
              <w:rPr>
                <w:b/>
                <w:sz w:val="22"/>
              </w:rPr>
              <w:t>Mi ref.:</w:t>
            </w:r>
          </w:p>
        </w:tc>
        <w:tc>
          <w:tcPr>
            <w:tcW w:w="7370" w:type="dxa"/>
            <w:tcBorders>
              <w:top w:val="single" w:sz="4" w:space="0" w:color="000000"/>
              <w:left w:val="single" w:sz="4" w:space="0" w:color="000000"/>
              <w:bottom w:val="single" w:sz="4" w:space="0" w:color="000000"/>
              <w:right w:val="single" w:sz="4" w:space="0" w:color="000000"/>
            </w:tcBorders>
          </w:tcPr>
          <w:p w14:paraId="54A110C4" w14:textId="77777777" w:rsidR="00E945B1" w:rsidRPr="001B701A" w:rsidRDefault="00000000">
            <w:pPr>
              <w:spacing w:after="0" w:line="240" w:lineRule="auto"/>
              <w:jc w:val="both"/>
            </w:pPr>
            <w:r w:rsidRPr="001B701A">
              <w:rPr>
                <w:sz w:val="22"/>
              </w:rPr>
              <w:t>[REFERENCIA INTERNA]</w:t>
            </w:r>
          </w:p>
        </w:tc>
      </w:tr>
      <w:tr w:rsidR="00E945B1" w:rsidRPr="001B701A" w14:paraId="51E9F0AB" w14:textId="77777777">
        <w:tc>
          <w:tcPr>
            <w:tcW w:w="1701" w:type="dxa"/>
            <w:tcBorders>
              <w:top w:val="single" w:sz="4" w:space="0" w:color="000000"/>
              <w:left w:val="single" w:sz="4" w:space="0" w:color="000000"/>
              <w:bottom w:val="single" w:sz="4" w:space="0" w:color="000000"/>
              <w:right w:val="single" w:sz="4" w:space="0" w:color="000000"/>
            </w:tcBorders>
          </w:tcPr>
          <w:p w14:paraId="0BC71E27" w14:textId="77777777" w:rsidR="00E945B1" w:rsidRPr="001B701A" w:rsidRDefault="00000000">
            <w:pPr>
              <w:spacing w:after="0" w:line="240" w:lineRule="auto"/>
              <w:jc w:val="both"/>
            </w:pPr>
            <w:r w:rsidRPr="001B701A">
              <w:rPr>
                <w:b/>
                <w:sz w:val="22"/>
              </w:rPr>
              <w:t>Juzgado:</w:t>
            </w:r>
          </w:p>
        </w:tc>
        <w:tc>
          <w:tcPr>
            <w:tcW w:w="7370" w:type="dxa"/>
            <w:tcBorders>
              <w:top w:val="single" w:sz="4" w:space="0" w:color="000000"/>
              <w:left w:val="single" w:sz="4" w:space="0" w:color="000000"/>
              <w:bottom w:val="single" w:sz="4" w:space="0" w:color="000000"/>
              <w:right w:val="single" w:sz="4" w:space="0" w:color="000000"/>
            </w:tcBorders>
          </w:tcPr>
          <w:p w14:paraId="70DC63B4" w14:textId="77777777" w:rsidR="00E945B1" w:rsidRPr="001B701A" w:rsidRDefault="00000000">
            <w:pPr>
              <w:spacing w:after="0" w:line="240" w:lineRule="auto"/>
              <w:jc w:val="both"/>
            </w:pPr>
            <w:r w:rsidRPr="001B701A">
              <w:rPr>
                <w:sz w:val="22"/>
              </w:rPr>
              <w:t>[ÓRGANO Y AUTOS]</w:t>
            </w:r>
          </w:p>
        </w:tc>
      </w:tr>
    </w:tbl>
    <w:p w14:paraId="16C2A8C4" w14:textId="291C0805" w:rsidR="00E945B1" w:rsidRPr="001B701A" w:rsidRDefault="00000000">
      <w:pPr>
        <w:spacing w:before="480" w:after="240" w:line="360" w:lineRule="auto"/>
        <w:jc w:val="center"/>
      </w:pPr>
      <w:r w:rsidRPr="001B701A">
        <w:rPr>
          <w:b/>
        </w:rPr>
        <w:t>A</w:t>
      </w:r>
      <w:r w:rsidR="00565A6A" w:rsidRPr="001B701A">
        <w:rPr>
          <w:b/>
        </w:rPr>
        <w:t xml:space="preserve"> </w:t>
      </w:r>
      <w:r w:rsidRPr="001B701A">
        <w:rPr>
          <w:b/>
        </w:rPr>
        <w:t>L</w:t>
      </w:r>
      <w:r w:rsidR="00565A6A" w:rsidRPr="001B701A">
        <w:rPr>
          <w:b/>
        </w:rPr>
        <w:t>A PLAZA Nº XX DE LA SECCIÓN CIVIL DEL TRIBUNAL DE INSTANCIA DE XX</w:t>
      </w:r>
    </w:p>
    <w:p w14:paraId="44D1161C" w14:textId="77777777" w:rsidR="00E945B1" w:rsidRPr="001B701A" w:rsidRDefault="00000000">
      <w:pPr>
        <w:spacing w:before="240" w:after="0" w:line="360" w:lineRule="auto"/>
        <w:jc w:val="both"/>
      </w:pPr>
      <w:r w:rsidRPr="001B701A">
        <w:rPr>
          <w:b/>
        </w:rPr>
        <w:t>DON/DOÑA [NOMBRE DEL/DE LA PROCURADOR/A]</w:t>
      </w:r>
      <w:r w:rsidRPr="001B701A">
        <w:t xml:space="preserve">, Procurador/a de los Tribunales, en nombre y representación de la mercantil </w:t>
      </w:r>
      <w:r w:rsidRPr="001B701A">
        <w:rPr>
          <w:b/>
        </w:rPr>
        <w:t>EV MMC SPAIN, S.L.U.</w:t>
      </w:r>
      <w:r w:rsidRPr="001B701A">
        <w:t xml:space="preserve"> (en adelante, </w:t>
      </w:r>
      <w:r w:rsidRPr="001B701A">
        <w:rPr>
          <w:b/>
        </w:rPr>
        <w:t>«la Agencia»</w:t>
      </w:r>
      <w:r w:rsidRPr="001B701A">
        <w:t xml:space="preserve">), cuya representación consta acreditada en los autos </w:t>
      </w:r>
      <w:r w:rsidRPr="001B701A">
        <w:rPr>
          <w:i/>
        </w:rPr>
        <w:t>ut supra</w:t>
      </w:r>
      <w:r w:rsidRPr="001B701A">
        <w:t xml:space="preserve">, bajo la dirección letrada de </w:t>
      </w:r>
      <w:r w:rsidRPr="001B701A">
        <w:rPr>
          <w:b/>
        </w:rPr>
        <w:t>DON NIKOLAI TYUKHAY</w:t>
      </w:r>
      <w:r w:rsidRPr="001B701A">
        <w:t xml:space="preserve">, abogado del Ilustre Colegio de la Abogacía de Barcelona, con despacho profesional en [DIRECCIÓN], teléfono [TELÉFONO] y correo electrónico nikolai.tyukhay@tyukhay.legal, ante el Juzgado comparezco y </w:t>
      </w:r>
      <w:r w:rsidRPr="001B701A">
        <w:rPr>
          <w:b/>
        </w:rPr>
        <w:t>DIGO:</w:t>
      </w:r>
    </w:p>
    <w:p w14:paraId="2449FEC6" w14:textId="605DDDB4" w:rsidR="00E945B1" w:rsidRPr="001B701A" w:rsidRDefault="00000000">
      <w:pPr>
        <w:spacing w:before="120" w:after="0" w:line="360" w:lineRule="auto"/>
        <w:jc w:val="both"/>
      </w:pPr>
      <w:r w:rsidRPr="001B701A">
        <w:t xml:space="preserve">Que, en la representación que ostento y mediante el presente escrito, en tiempo y forma vengo a </w:t>
      </w:r>
      <w:r w:rsidRPr="001B701A">
        <w:rPr>
          <w:b/>
        </w:rPr>
        <w:t>CONTESTAR LA DEMANDA</w:t>
      </w:r>
      <w:r w:rsidRPr="001B701A">
        <w:t xml:space="preserve"> interpuesta por </w:t>
      </w:r>
      <w:r w:rsidRPr="001B701A">
        <w:rPr>
          <w:b/>
        </w:rPr>
        <w:t>DON/DOÑA [NOMBRE DEL ACTOR]</w:t>
      </w:r>
      <w:r w:rsidRPr="001B701A">
        <w:t xml:space="preserve"> contra mi representada, oponiéndome íntegramente a las pretensiones formuladas, sobre la base de los siguientes.</w:t>
      </w:r>
    </w:p>
    <w:p w14:paraId="45BFBA29" w14:textId="77777777" w:rsidR="00E945B1" w:rsidRPr="001B701A" w:rsidRDefault="00000000">
      <w:pPr>
        <w:spacing w:before="360" w:after="120" w:line="360" w:lineRule="auto"/>
        <w:jc w:val="center"/>
      </w:pPr>
      <w:r w:rsidRPr="001B701A">
        <w:rPr>
          <w:b/>
        </w:rPr>
        <w:t>HECHOS</w:t>
      </w:r>
    </w:p>
    <w:p w14:paraId="675594A1" w14:textId="77777777" w:rsidR="00E945B1" w:rsidRPr="001B701A" w:rsidRDefault="00000000">
      <w:pPr>
        <w:spacing w:before="240" w:after="120" w:line="360" w:lineRule="auto"/>
        <w:jc w:val="both"/>
      </w:pPr>
      <w:r w:rsidRPr="001B701A">
        <w:rPr>
          <w:b/>
        </w:rPr>
        <w:t>PREVIO.- DEL OBJETO DE LA OPOSICIÓN Y DE SU ESTRUCTURA.</w:t>
      </w:r>
    </w:p>
    <w:p w14:paraId="5933C73E" w14:textId="77777777" w:rsidR="00E945B1" w:rsidRPr="001B701A" w:rsidRDefault="00000000" w:rsidP="00DC764E">
      <w:pPr>
        <w:numPr>
          <w:ilvl w:val="0"/>
          <w:numId w:val="10"/>
        </w:numPr>
        <w:spacing w:before="120" w:after="0" w:line="360" w:lineRule="auto"/>
        <w:ind w:left="0"/>
        <w:jc w:val="both"/>
      </w:pPr>
      <w:r w:rsidRPr="001B701A">
        <w:t>La controversia se centra en la pretensión actora de obtener la declaración de nulidad del contrato de encargo de prestación de servicios suscrito por el actor con EV MMC SPAIN, S.L.U. (en adelante, «la Agencia») y, a su consecuencia, la restitución del importe satisfecho en concepto de honorarios profesionales, con fundamento en el artículo 20.1, último párrafo, LAU, en la redacción dada por la disposición final primera, apartado cuatro, de la Ley 12/2023, de 24 de mayo, por el derecho a la vivienda.</w:t>
      </w:r>
    </w:p>
    <w:p w14:paraId="326F7ECD" w14:textId="0C0F3509" w:rsidR="00E945B1" w:rsidRPr="001B701A" w:rsidRDefault="00000000" w:rsidP="00DC764E">
      <w:pPr>
        <w:numPr>
          <w:ilvl w:val="0"/>
          <w:numId w:val="10"/>
        </w:numPr>
        <w:spacing w:before="120" w:after="0" w:line="360" w:lineRule="auto"/>
        <w:ind w:left="0"/>
        <w:jc w:val="both"/>
      </w:pPr>
      <w:r w:rsidRPr="001B701A">
        <w:t xml:space="preserve">La oposición de esta parte se desarrolla en los Hechos que siguen, ordenados en dos planos: los Hechos Primero a Tercero exponen el sustrato fáctico común a la totalidad de los motivos —incluyendo los hechos que la actora omite o tergiversa—; los Hechos Cuarto a Décimo desarrollan, con su soporte normativo y jurisprudencial, los siete motivos de oposición que esta parte hace valer frente a la pretensión. </w:t>
      </w:r>
    </w:p>
    <w:p w14:paraId="7A6039D0" w14:textId="2D87E370" w:rsidR="00E945B1" w:rsidRPr="001B701A" w:rsidRDefault="00000000" w:rsidP="00DC764E">
      <w:pPr>
        <w:numPr>
          <w:ilvl w:val="0"/>
          <w:numId w:val="10"/>
        </w:numPr>
        <w:spacing w:before="120" w:after="0" w:line="360" w:lineRule="auto"/>
        <w:ind w:left="0"/>
        <w:jc w:val="both"/>
      </w:pPr>
      <w:r w:rsidRPr="001B701A">
        <w:t xml:space="preserve">Los motivos de oposición que se desarrollan en los Hechos Cuarto a Décimo son, sucintamente: (1) la falta de legitimación pasiva </w:t>
      </w:r>
      <w:r w:rsidRPr="001B701A">
        <w:rPr>
          <w:i/>
        </w:rPr>
        <w:t>ad causam</w:t>
      </w:r>
      <w:r w:rsidRPr="001B701A">
        <w:t xml:space="preserve"> de la Agencia en la acción fundada en el art. 20.1 LAU, por imponer el precepto la obligación exclusivamente al arrendador; (2) la no aplicación </w:t>
      </w:r>
      <w:r w:rsidRPr="001B701A">
        <w:lastRenderedPageBreak/>
        <w:t xml:space="preserve">del art. 20.1 LAU al contrato entre la Agencia y el actor, por tener los servicios prestados naturaleza distinta a la «gestión inmobiliaria» y a la «formalización del contrato» del precepto, al integrarse el Encargo en el contrato de mediación o corretaje —mandato no representativo, atípico—, conforme al canon literal, jurisprudencial y sistemático (este último, a la luz del Título IV de la Ley 12/2023); </w:t>
      </w:r>
      <w:commentRangeStart w:id="0"/>
      <w:r w:rsidRPr="001B701A">
        <w:t xml:space="preserve">(3) </w:t>
      </w:r>
      <w:r w:rsidRPr="001B701A">
        <w:rPr>
          <w:b/>
        </w:rPr>
        <w:t>[específico para procedimientos sustanciados en Cataluña]</w:t>
      </w:r>
      <w:r w:rsidRPr="001B701A">
        <w:t xml:space="preserve"> la licitud de la doble retribución del agente inmobiliario al amparo del art. 55.6.i de la Ley 18/2007, del derecho a la vivienda de Cataluña, en su lectura </w:t>
      </w:r>
      <w:r w:rsidRPr="001B701A">
        <w:rPr>
          <w:i/>
        </w:rPr>
        <w:t>a sensu contrario</w:t>
      </w:r>
      <w:r w:rsidRPr="001B701A">
        <w:t xml:space="preserve">, por concurrir en el caso de autos el acuerdo expreso de las partes intervinientes en la transacción; </w:t>
      </w:r>
      <w:commentRangeEnd w:id="0"/>
      <w:r w:rsidR="00DC764E">
        <w:rPr>
          <w:rStyle w:val="Refdecomentario"/>
          <w:sz w:val="24"/>
          <w:szCs w:val="22"/>
        </w:rPr>
        <w:commentReference w:id="0"/>
      </w:r>
      <w:r w:rsidRPr="001B701A">
        <w:t xml:space="preserve">(4) subsidiariamente, el planteamiento de cuestión de inconstitucionalidad </w:t>
      </w:r>
      <w:r w:rsidRPr="001B701A">
        <w:rPr>
          <w:i/>
        </w:rPr>
        <w:t>ex</w:t>
      </w:r>
      <w:r w:rsidRPr="001B701A">
        <w:t xml:space="preserve"> art. 35 LOTC del art. 20.1, último párrafo, LAU en la interpretación extensiva postulada por la actora, por vulnerar tal interpretación el derecho fundamental a la libertad de empresa del art. 38 CE al imponer a las agencias inmobiliarias la prestación gratuita de servicios profesionales; (5) subsidiariamente, la inaplicabilidad del art. 20.1 LAU a los honorarios percibidos por la Agencia del actor, por exceder los servicios efectivamente prestados del perímetro objetivo del precepto en su objeto, causa y destinatario; </w:t>
      </w:r>
      <w:commentRangeStart w:id="1"/>
      <w:r w:rsidRPr="001B701A">
        <w:t xml:space="preserve">(6) la improcedencia de la pretensión subsidiaria de nulidad del Encargo por vicio del consentimiento, por haber concurrido información previa y reiterada al actor sobre la onerosidad y régimen jurídico del servicio, lo que excluye la existencia de error esencial, excusable y con nexo causal exigida por los arts. 1.265 y 1.266 CC; y (7) la improcedencia de la pretensión subsidiaria de nulidad parcial del Encargo por abusividad de la cláusula de honorarios, por definir esta cláusula el objeto principal del contrato y quedar extramuros del control material de abusividad </w:t>
      </w:r>
      <w:r w:rsidRPr="001B701A">
        <w:rPr>
          <w:i/>
        </w:rPr>
        <w:t>ex</w:t>
      </w:r>
      <w:r w:rsidRPr="001B701A">
        <w:t xml:space="preserve"> art. 4.2 de la Directiva 93/13/CEE, superándose además el único control aplicable —el de transparencia—.</w:t>
      </w:r>
      <w:commentRangeEnd w:id="1"/>
      <w:r w:rsidR="001B701A">
        <w:rPr>
          <w:rStyle w:val="Refdecomentario"/>
          <w:sz w:val="24"/>
          <w:szCs w:val="22"/>
        </w:rPr>
        <w:commentReference w:id="1"/>
      </w:r>
    </w:p>
    <w:p w14:paraId="5896DB5E" w14:textId="77777777" w:rsidR="00E945B1" w:rsidRPr="001B701A" w:rsidRDefault="00000000" w:rsidP="00DC764E">
      <w:pPr>
        <w:numPr>
          <w:ilvl w:val="0"/>
          <w:numId w:val="10"/>
        </w:numPr>
        <w:spacing w:before="120" w:after="0" w:line="360" w:lineRule="auto"/>
        <w:ind w:left="0"/>
        <w:jc w:val="both"/>
      </w:pPr>
      <w:r w:rsidRPr="001B701A">
        <w:t>Por exigencias de claridad expositiva, los nomens que se reiteran en lo sucesivo se introducen en su primera mención: el inmueble objeto del arrendamiento controvertido se denominará «el Inmueble»; el contrato de encargo de prestación de servicios suscrito por el actor con la Agencia, «el Encargo».</w:t>
      </w:r>
    </w:p>
    <w:p w14:paraId="32148C42" w14:textId="77777777" w:rsidR="0095558C" w:rsidRPr="001B701A" w:rsidRDefault="0095558C">
      <w:pPr>
        <w:spacing w:before="240" w:after="120" w:line="360" w:lineRule="auto"/>
        <w:jc w:val="both"/>
        <w:rPr>
          <w:b/>
        </w:rPr>
      </w:pPr>
    </w:p>
    <w:p w14:paraId="2E6A9A43" w14:textId="10413ED8" w:rsidR="00E945B1" w:rsidRPr="001B701A" w:rsidRDefault="00000000">
      <w:pPr>
        <w:spacing w:before="240" w:after="120" w:line="360" w:lineRule="auto"/>
        <w:jc w:val="both"/>
      </w:pPr>
      <w:r w:rsidRPr="001B701A">
        <w:rPr>
          <w:b/>
        </w:rPr>
        <w:t>PRIMERO.- COMERCIALIZACIÓN DEL INMUEBLE POR LA AGENCIA.</w:t>
      </w:r>
    </w:p>
    <w:p w14:paraId="4AACD282" w14:textId="77777777" w:rsidR="00E945B1" w:rsidRPr="001B701A" w:rsidRDefault="00000000" w:rsidP="00DC764E">
      <w:pPr>
        <w:numPr>
          <w:ilvl w:val="0"/>
          <w:numId w:val="10"/>
        </w:numPr>
        <w:spacing w:before="120" w:after="0" w:line="360" w:lineRule="auto"/>
        <w:ind w:left="0"/>
        <w:jc w:val="both"/>
      </w:pPr>
      <w:r w:rsidRPr="001B701A">
        <w:t xml:space="preserve">La actividad profesional que la Agencia despliega en la comercialización de cada inmueble es de elevada sofisticación técnica y organizativa, se desarrolla durante varias semanas o meses y descansa íntegramente sobre su inversión: recursos humanos (consultores inmobiliarios, departamento legal y de marketing), tecnológicos (herramientas de pricing, bases de datos, </w:t>
      </w:r>
      <w:r w:rsidRPr="001B701A">
        <w:lastRenderedPageBreak/>
        <w:t>portales propios) y publicitarios (reportaje fotográfico, vídeos, dossieres, publicación en portales de pago). El riesgo empresarial se asume íntegramente: los honorarios sólo se cobran si la operación llega a buen fin.</w:t>
      </w:r>
    </w:p>
    <w:p w14:paraId="23C2C201" w14:textId="77777777" w:rsidR="0095558C" w:rsidRPr="001B701A" w:rsidRDefault="0095558C">
      <w:pPr>
        <w:spacing w:before="120" w:after="0" w:line="360" w:lineRule="auto"/>
        <w:jc w:val="both"/>
        <w:rPr>
          <w:b/>
          <w:bCs/>
          <w:i/>
        </w:rPr>
      </w:pPr>
    </w:p>
    <w:p w14:paraId="63149AB8" w14:textId="6A283694" w:rsidR="00E945B1" w:rsidRPr="001B701A" w:rsidRDefault="00000000">
      <w:pPr>
        <w:spacing w:before="120" w:after="0" w:line="360" w:lineRule="auto"/>
        <w:jc w:val="both"/>
        <w:rPr>
          <w:b/>
          <w:bCs/>
        </w:rPr>
      </w:pPr>
      <w:r w:rsidRPr="001B701A">
        <w:rPr>
          <w:b/>
          <w:bCs/>
          <w:i/>
        </w:rPr>
        <w:t>1.1. Las cuatro fases del proceso de comercialización.</w:t>
      </w:r>
    </w:p>
    <w:p w14:paraId="2880685A" w14:textId="77777777" w:rsidR="00E945B1" w:rsidRPr="001B701A" w:rsidRDefault="00000000" w:rsidP="00DC764E">
      <w:pPr>
        <w:numPr>
          <w:ilvl w:val="0"/>
          <w:numId w:val="10"/>
        </w:numPr>
        <w:spacing w:before="120" w:after="0" w:line="360" w:lineRule="auto"/>
        <w:ind w:left="0"/>
        <w:jc w:val="both"/>
      </w:pPr>
      <w:r w:rsidRPr="001B701A">
        <w:t xml:space="preserve">El proceso se articula en cuatro fases sucesivas y diferenciadas: la </w:t>
      </w:r>
      <w:r w:rsidRPr="001B701A">
        <w:rPr>
          <w:i/>
        </w:rPr>
        <w:t>valoración técnica y económica</w:t>
      </w:r>
      <w:r w:rsidRPr="001B701A">
        <w:t xml:space="preserve"> del inmueble, mediante estudio comparativo del mercado arrendaticio de la zona, con propuesta del precio idóneo al propietario; la </w:t>
      </w:r>
      <w:r w:rsidRPr="001B701A">
        <w:rPr>
          <w:i/>
        </w:rPr>
        <w:t>captación</w:t>
      </w:r>
      <w:r w:rsidRPr="001B701A">
        <w:t xml:space="preserve">, que comprende la negociación y firma del encargo de mediación, el reportaje fotográfico, la elaboración del exposé y la redacción de los anuncios; la </w:t>
      </w:r>
      <w:r w:rsidRPr="001B701A">
        <w:rPr>
          <w:i/>
        </w:rPr>
        <w:t>comercialización</w:t>
      </w:r>
      <w:r w:rsidRPr="001B701A">
        <w:t xml:space="preserve"> propiamente dicha, con publicación en los canales propios y en los principales portales inmobiliarios, remisión del exposé a los potenciales arrendatarios y concertación de las visitas; y, finalmente, la </w:t>
      </w:r>
      <w:r w:rsidRPr="001B701A">
        <w:rPr>
          <w:i/>
        </w:rPr>
        <w:t>perfección del arrendamiento</w:t>
      </w:r>
      <w:r w:rsidRPr="001B701A">
        <w:t>, en la que la Agencia intermedia en la negociación entre las partes —presenta el perfil del candidato, recaba la documentación de solvencia, negocia las condiciones económicas— hasta la firma del contrato.</w:t>
      </w:r>
    </w:p>
    <w:p w14:paraId="7FFD3C9F" w14:textId="77777777" w:rsidR="0095558C" w:rsidRPr="001B701A" w:rsidRDefault="0095558C">
      <w:pPr>
        <w:spacing w:before="120" w:after="0" w:line="360" w:lineRule="auto"/>
        <w:jc w:val="both"/>
        <w:rPr>
          <w:b/>
          <w:bCs/>
          <w:i/>
        </w:rPr>
      </w:pPr>
    </w:p>
    <w:p w14:paraId="61300090" w14:textId="674C9501" w:rsidR="00E945B1" w:rsidRPr="001B701A" w:rsidRDefault="00000000">
      <w:pPr>
        <w:spacing w:before="120" w:after="0" w:line="360" w:lineRule="auto"/>
        <w:jc w:val="both"/>
        <w:rPr>
          <w:b/>
          <w:bCs/>
        </w:rPr>
      </w:pPr>
      <w:r w:rsidRPr="001B701A">
        <w:rPr>
          <w:b/>
          <w:bCs/>
          <w:i/>
        </w:rPr>
        <w:t>1.2. Encargo de arrendamiento con el propietario.</w:t>
      </w:r>
    </w:p>
    <w:p w14:paraId="0992732D" w14:textId="77777777" w:rsidR="00E945B1" w:rsidRPr="001B701A" w:rsidRDefault="00000000" w:rsidP="00DC764E">
      <w:pPr>
        <w:numPr>
          <w:ilvl w:val="0"/>
          <w:numId w:val="10"/>
        </w:numPr>
        <w:spacing w:before="120" w:after="0" w:line="360" w:lineRule="auto"/>
        <w:ind w:left="0"/>
        <w:jc w:val="both"/>
      </w:pPr>
      <w:r w:rsidRPr="001B701A">
        <w:t>En el caso de autos, la Agencia formalizó con el propietario —antes de cualquier contacto con el actor— el encargo de arrendamiento, por el que éste le encomendó comercializar el Inmueble e intermediar en la negociación de su arrendamiento. La captación fue obra exclusiva de la Agencia y anterior a la intervención del actor.</w:t>
      </w:r>
    </w:p>
    <w:p w14:paraId="5259372D"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1</w:t>
      </w:r>
      <w:r w:rsidRPr="001B701A">
        <w:t xml:space="preserve"> el encargo de arrendamiento que la Agencia suscribió con el propietario del Inmueble.</w:t>
      </w:r>
    </w:p>
    <w:p w14:paraId="0E69724C" w14:textId="77777777" w:rsidR="0095558C" w:rsidRPr="001B701A" w:rsidRDefault="0095558C">
      <w:pPr>
        <w:spacing w:before="120" w:after="0" w:line="360" w:lineRule="auto"/>
        <w:jc w:val="both"/>
        <w:rPr>
          <w:b/>
          <w:bCs/>
          <w:i/>
        </w:rPr>
      </w:pPr>
    </w:p>
    <w:p w14:paraId="43A68B2B" w14:textId="0E8E9150" w:rsidR="00E945B1" w:rsidRPr="001B701A" w:rsidRDefault="00000000">
      <w:pPr>
        <w:spacing w:before="120" w:after="0" w:line="360" w:lineRule="auto"/>
        <w:jc w:val="both"/>
        <w:rPr>
          <w:b/>
          <w:bCs/>
        </w:rPr>
      </w:pPr>
      <w:r w:rsidRPr="001B701A">
        <w:rPr>
          <w:b/>
          <w:bCs/>
          <w:i/>
        </w:rPr>
        <w:t>1.3. Captación, exposé, anuncio y solicitud del actor.</w:t>
      </w:r>
    </w:p>
    <w:p w14:paraId="6735D7F2" w14:textId="77777777" w:rsidR="00E945B1" w:rsidRPr="001B701A" w:rsidRDefault="00000000" w:rsidP="00565A6A">
      <w:pPr>
        <w:numPr>
          <w:ilvl w:val="0"/>
          <w:numId w:val="10"/>
        </w:numPr>
        <w:spacing w:before="120" w:after="0" w:line="360" w:lineRule="auto"/>
        <w:ind w:left="0"/>
        <w:jc w:val="both"/>
      </w:pPr>
      <w:r w:rsidRPr="001B701A">
        <w:t>Bajo ese encargo, y antes de que el actor conociese la existencia del Inmueble, la Agencia desplegó las actuaciones descritas: valoración técnica, inspección, reportaje fotográfico, elaboración del exposé y publicación en los portales y canales propios. El coste íntegro corre a su cargo.</w:t>
      </w:r>
    </w:p>
    <w:p w14:paraId="17AA4B43" w14:textId="77777777" w:rsidR="00E945B1" w:rsidRPr="001B701A" w:rsidRDefault="00000000" w:rsidP="00DC764E">
      <w:pPr>
        <w:numPr>
          <w:ilvl w:val="0"/>
          <w:numId w:val="10"/>
        </w:numPr>
        <w:spacing w:before="120" w:after="0" w:line="360" w:lineRule="auto"/>
        <w:ind w:left="0"/>
        <w:jc w:val="both"/>
      </w:pPr>
      <w:r w:rsidRPr="001B701A">
        <w:lastRenderedPageBreak/>
        <w:t>Tras esa actividad, la Agencia recibió la solicitud de información del actor, dirigida al canal corporativo —llamada a la centralita o contacto a través del portal inmobiliario en el que la Agencia anunciaba el Inmueble—.</w:t>
      </w:r>
    </w:p>
    <w:p w14:paraId="7B1615D7"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2</w:t>
      </w:r>
      <w:r w:rsidRPr="001B701A">
        <w:t xml:space="preserve"> el exposé del Inmueble elaborado por la Agencia.</w:t>
      </w:r>
    </w:p>
    <w:p w14:paraId="1950C468"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3</w:t>
      </w:r>
      <w:r w:rsidRPr="001B701A">
        <w:t xml:space="preserve"> el registro de la solicitud del actor en el CRM de la Agencia, con fecha de entrada, datos identificativos del solicitante y, especialmente, el canal de origen.</w:t>
      </w:r>
    </w:p>
    <w:p w14:paraId="4A8B8174" w14:textId="77777777" w:rsidR="00E945B1" w:rsidRPr="001B701A" w:rsidRDefault="00000000">
      <w:pPr>
        <w:spacing w:before="120" w:after="0" w:line="360" w:lineRule="auto"/>
        <w:jc w:val="center"/>
        <w:rPr>
          <w:highlight w:val="yellow"/>
        </w:rPr>
      </w:pPr>
      <w:r w:rsidRPr="001B701A">
        <w:rPr>
          <w:b/>
          <w:highlight w:val="yellow"/>
        </w:rPr>
        <w:t>═══════════════════════════════════════════════════════</w:t>
      </w:r>
    </w:p>
    <w:p w14:paraId="64F21767" w14:textId="77777777" w:rsidR="00E945B1" w:rsidRPr="001B701A" w:rsidRDefault="00000000">
      <w:pPr>
        <w:spacing w:after="0" w:line="360" w:lineRule="auto"/>
        <w:jc w:val="center"/>
        <w:rPr>
          <w:highlight w:val="yellow"/>
        </w:rPr>
      </w:pPr>
      <w:r w:rsidRPr="001B701A">
        <w:rPr>
          <w:b/>
          <w:i/>
          <w:highlight w:val="yellow"/>
        </w:rPr>
        <w:t>[VARIANTE 1.4 — facturación al propietario por gestión inmobiliaria. Eliminar el apartado, los dos párrafos siguientes y el Doc. 9 si la Agencia no facturó al propietario.]</w:t>
      </w:r>
    </w:p>
    <w:p w14:paraId="3678C992" w14:textId="77777777" w:rsidR="00E945B1" w:rsidRPr="001B701A" w:rsidRDefault="00000000">
      <w:pPr>
        <w:spacing w:after="120" w:line="360" w:lineRule="auto"/>
        <w:jc w:val="center"/>
      </w:pPr>
      <w:r w:rsidRPr="001B701A">
        <w:rPr>
          <w:b/>
          <w:highlight w:val="yellow"/>
        </w:rPr>
        <w:t>═══════════════════════════════════════════════════════</w:t>
      </w:r>
    </w:p>
    <w:p w14:paraId="52D9C93E" w14:textId="77777777" w:rsidR="00E945B1" w:rsidRPr="001B701A" w:rsidRDefault="00000000">
      <w:pPr>
        <w:spacing w:before="120" w:after="0" w:line="360" w:lineRule="auto"/>
        <w:jc w:val="both"/>
        <w:rPr>
          <w:b/>
          <w:bCs/>
        </w:rPr>
      </w:pPr>
      <w:commentRangeStart w:id="2"/>
      <w:r w:rsidRPr="001B701A">
        <w:rPr>
          <w:b/>
          <w:bCs/>
          <w:i/>
        </w:rPr>
        <w:t>1.4. [VARIANTE] Facturación al propietario.</w:t>
      </w:r>
      <w:commentRangeEnd w:id="2"/>
      <w:r w:rsidR="001B701A" w:rsidRPr="001B701A">
        <w:rPr>
          <w:rStyle w:val="Refdecomentario"/>
          <w:b/>
          <w:bCs/>
          <w:sz w:val="24"/>
          <w:szCs w:val="22"/>
        </w:rPr>
        <w:commentReference w:id="2"/>
      </w:r>
    </w:p>
    <w:p w14:paraId="080A3C40" w14:textId="77777777" w:rsidR="00E945B1" w:rsidRPr="001B701A" w:rsidRDefault="00000000" w:rsidP="00DC764E">
      <w:pPr>
        <w:numPr>
          <w:ilvl w:val="0"/>
          <w:numId w:val="10"/>
        </w:numPr>
        <w:spacing w:before="120" w:after="0" w:line="360" w:lineRule="auto"/>
        <w:ind w:left="0"/>
        <w:jc w:val="both"/>
      </w:pPr>
      <w:r w:rsidRPr="001B701A">
        <w:t>La Agencia emitió, además, factura al propietario por el servicio de gestión inmobiliaria reservado al arrendador por el art. 20.1 LAU. Dicha factura acredita que la Agencia repercutió en el propietario los servicios de captación, valoración y publicidad —los que la norma atribuye al arrendador— y que el actor no asumió, ni se le facturó, ningún concepto incluido en el perímetro objetivo del precepto.</w:t>
      </w:r>
    </w:p>
    <w:p w14:paraId="0BB605DF"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9</w:t>
      </w:r>
      <w:r w:rsidRPr="001B701A">
        <w:t xml:space="preserve"> la factura que la Agencia emitió al propietario.</w:t>
      </w:r>
    </w:p>
    <w:p w14:paraId="610BEC57" w14:textId="77777777" w:rsidR="00E945B1" w:rsidRPr="001B701A" w:rsidRDefault="00000000">
      <w:pPr>
        <w:spacing w:before="120" w:after="0" w:line="360" w:lineRule="auto"/>
        <w:jc w:val="center"/>
        <w:rPr>
          <w:highlight w:val="yellow"/>
        </w:rPr>
      </w:pPr>
      <w:r w:rsidRPr="001B701A">
        <w:rPr>
          <w:b/>
          <w:highlight w:val="yellow"/>
        </w:rPr>
        <w:t>═══════════════════════════════════════════════════════</w:t>
      </w:r>
    </w:p>
    <w:p w14:paraId="2176A584" w14:textId="77777777" w:rsidR="00E945B1" w:rsidRPr="001B701A" w:rsidRDefault="00000000">
      <w:pPr>
        <w:spacing w:after="0" w:line="360" w:lineRule="auto"/>
        <w:jc w:val="center"/>
        <w:rPr>
          <w:highlight w:val="yellow"/>
        </w:rPr>
      </w:pPr>
      <w:r w:rsidRPr="001B701A">
        <w:rPr>
          <w:b/>
          <w:i/>
          <w:highlight w:val="yellow"/>
        </w:rPr>
        <w:t>[FIN VARIANTE 1.4]</w:t>
      </w:r>
    </w:p>
    <w:p w14:paraId="5FB87F9C" w14:textId="77777777" w:rsidR="00E945B1" w:rsidRPr="001B701A" w:rsidRDefault="00000000">
      <w:pPr>
        <w:spacing w:after="120" w:line="360" w:lineRule="auto"/>
        <w:jc w:val="center"/>
      </w:pPr>
      <w:r w:rsidRPr="001B701A">
        <w:rPr>
          <w:b/>
          <w:highlight w:val="yellow"/>
        </w:rPr>
        <w:t>═══════════════════════════════════════════════════════</w:t>
      </w:r>
    </w:p>
    <w:p w14:paraId="44046887" w14:textId="77777777" w:rsidR="00E945B1" w:rsidRPr="001B701A" w:rsidRDefault="00000000">
      <w:pPr>
        <w:spacing w:before="240" w:after="120" w:line="360" w:lineRule="auto"/>
        <w:jc w:val="both"/>
      </w:pPr>
      <w:r w:rsidRPr="001B701A">
        <w:rPr>
          <w:b/>
        </w:rPr>
        <w:t>SEGUNDO.- INFORMACIÓN PREVIA AL ACTOR, SUSCRIPCIÓN DEL ENCARGO Y EJECUCIÓN HASTA EL BUEN FIN DE LA MEDIACIÓN.</w:t>
      </w:r>
    </w:p>
    <w:p w14:paraId="782AC93F" w14:textId="77777777" w:rsidR="00E945B1" w:rsidRPr="001B701A" w:rsidRDefault="00000000">
      <w:pPr>
        <w:spacing w:before="120" w:after="0" w:line="360" w:lineRule="auto"/>
        <w:jc w:val="both"/>
        <w:rPr>
          <w:b/>
          <w:bCs/>
        </w:rPr>
      </w:pPr>
      <w:r w:rsidRPr="001B701A">
        <w:rPr>
          <w:b/>
          <w:bCs/>
          <w:i/>
        </w:rPr>
        <w:t>2.1. Información previa por triple soporte.</w:t>
      </w:r>
    </w:p>
    <w:p w14:paraId="1C777DA9" w14:textId="77777777" w:rsidR="00E945B1" w:rsidRPr="001B701A" w:rsidRDefault="00000000" w:rsidP="00DC764E">
      <w:pPr>
        <w:numPr>
          <w:ilvl w:val="0"/>
          <w:numId w:val="10"/>
        </w:numPr>
        <w:spacing w:before="120" w:after="0" w:line="360" w:lineRule="auto"/>
        <w:ind w:left="0"/>
        <w:jc w:val="both"/>
      </w:pPr>
      <w:r w:rsidRPr="001B701A">
        <w:lastRenderedPageBreak/>
        <w:t xml:space="preserve">Recibida la solicitud del actor, la Agencia le asignó un consultor inmobiliario, </w:t>
      </w:r>
      <w:r w:rsidRPr="001B701A">
        <w:rPr>
          <w:b/>
        </w:rPr>
        <w:t>DON/DOÑA [NOMBRE DEL CONSULTOR/A]</w:t>
      </w:r>
      <w:r w:rsidRPr="001B701A">
        <w:t>, que tomó contacto con él para atenderla, completar la información sobre el Inmueble y concertar la visita.</w:t>
      </w:r>
    </w:p>
    <w:p w14:paraId="2F1C74F7" w14:textId="77777777" w:rsidR="00E945B1" w:rsidRPr="001B701A" w:rsidRDefault="00000000" w:rsidP="00DC764E">
      <w:pPr>
        <w:numPr>
          <w:ilvl w:val="0"/>
          <w:numId w:val="10"/>
        </w:numPr>
        <w:spacing w:before="120" w:after="0" w:line="360" w:lineRule="auto"/>
        <w:ind w:left="0"/>
        <w:jc w:val="both"/>
      </w:pPr>
      <w:r w:rsidRPr="001B701A">
        <w:t>La información se facilitó por tres vías complementarias: (i) remisión del exposé, en cuyo apartado «Comisión y condiciones» figura advertencia expresa sobre la onerosidad del servicio y su régimen jurídico diferenciado respecto del art. 20.1 LAU; (ii) comunicaciones directas del consultor por correo y mensajería, en las que se detalló el importe exacto de los honorarios, el momento de su devengo —aceptación de la oferta por el propietario—, el régimen de devolución del pago por seriedad y la naturaleza de los servicios; y (iii) puesta a disposición anticipada del propio Encargo para su examen previo.</w:t>
      </w:r>
    </w:p>
    <w:p w14:paraId="71C006E3" w14:textId="77777777" w:rsidR="00E945B1" w:rsidRPr="001B701A" w:rsidRDefault="00000000" w:rsidP="00DC764E">
      <w:pPr>
        <w:numPr>
          <w:ilvl w:val="0"/>
          <w:numId w:val="10"/>
        </w:numPr>
        <w:spacing w:before="120" w:after="0" w:line="360" w:lineRule="auto"/>
        <w:ind w:left="0"/>
        <w:jc w:val="both"/>
      </w:pPr>
      <w:r w:rsidRPr="001B701A">
        <w:t>La advertencia que figura en el exposé es del siguiente tenor literal:</w:t>
      </w:r>
    </w:p>
    <w:p w14:paraId="6ED52687" w14:textId="77777777" w:rsidR="00E945B1" w:rsidRPr="001B701A" w:rsidRDefault="00000000">
      <w:pPr>
        <w:spacing w:before="120" w:after="120" w:line="360" w:lineRule="auto"/>
        <w:ind w:left="567"/>
        <w:jc w:val="both"/>
      </w:pPr>
      <w:r w:rsidRPr="001B701A">
        <w:rPr>
          <w:i/>
          <w:sz w:val="20"/>
        </w:rPr>
        <w:t>«Los datos expuestos son ofrecidos por terceros, meramente informativos y se suponen correctos. Nuestra empresa no garantiza su veracidad. La oferta está sujeta a errores, cambios de precio, omisión y/o retirada del mercado sin previo aviso. En caso de llegar a acuerdo de arrendamiento, podrían devengarse honorarios a favor de la Agencia, los cuales no se corresponden con gastos de gestión inmobiliaria ni formalización del contrato, cuyo coste es asumido por el Arrendador (Art. 20.1 LAU). Otras condiciones particulares como duración, fianza, garantías, consumos o gastos de comunidad, cuando los hubiere, serán especificados en documento adicional. Además corresponde al arrendatario de una vivienda el pago del Impuesto sobre Transmisiones Patrimoniales (ITP).»</w:t>
      </w:r>
    </w:p>
    <w:p w14:paraId="0233F0D3"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4</w:t>
      </w:r>
      <w:r w:rsidRPr="001B701A">
        <w:t xml:space="preserve"> las comunicaciones que el consultor mantuvo con el actor antes de la visita y de la firma del Encargo —correo electrónico y mensajería instantánea—.</w:t>
      </w:r>
    </w:p>
    <w:p w14:paraId="69F3BB6B" w14:textId="77777777" w:rsidR="0095558C" w:rsidRPr="001B701A" w:rsidRDefault="0095558C">
      <w:pPr>
        <w:spacing w:before="120" w:after="0" w:line="360" w:lineRule="auto"/>
        <w:jc w:val="both"/>
        <w:rPr>
          <w:b/>
          <w:bCs/>
          <w:i/>
        </w:rPr>
      </w:pPr>
    </w:p>
    <w:p w14:paraId="1DAA71CC" w14:textId="36BF74E1" w:rsidR="00E945B1" w:rsidRPr="001B701A" w:rsidRDefault="00000000">
      <w:pPr>
        <w:spacing w:before="120" w:after="0" w:line="360" w:lineRule="auto"/>
        <w:jc w:val="both"/>
        <w:rPr>
          <w:b/>
          <w:bCs/>
        </w:rPr>
      </w:pPr>
      <w:r w:rsidRPr="001B701A">
        <w:rPr>
          <w:b/>
          <w:bCs/>
          <w:i/>
        </w:rPr>
        <w:t>2.2. Visita al Inmueble y suscripción libre del Encargo.</w:t>
      </w:r>
    </w:p>
    <w:p w14:paraId="2EDC59DB" w14:textId="77777777" w:rsidR="00E945B1" w:rsidRPr="001B701A" w:rsidRDefault="00000000" w:rsidP="00DC764E">
      <w:pPr>
        <w:numPr>
          <w:ilvl w:val="0"/>
          <w:numId w:val="10"/>
        </w:numPr>
        <w:spacing w:before="120" w:after="0" w:line="360" w:lineRule="auto"/>
        <w:ind w:left="0"/>
        <w:jc w:val="both"/>
      </w:pPr>
      <w:r w:rsidRPr="001B701A">
        <w:t xml:space="preserve">Una vez transcurrió el tiempo razonable para que el actor examinase la información y resolviese sus dudas, la Agencia concertó la visita presencial al Inmueble, en compañía del consultor, quien proporcionó información </w:t>
      </w:r>
      <w:r w:rsidRPr="001B701A">
        <w:rPr>
          <w:i/>
        </w:rPr>
        <w:t>in situ</w:t>
      </w:r>
      <w:r w:rsidRPr="001B701A">
        <w:t xml:space="preserve"> sobre las características, la zona, los accesos y demás circunstancias relevantes. Tras la visita, el actor manifestó su voluntad de arrendar el Inmueble y, sólo entonces, suscribió el Encargo de modo libre e informado.</w:t>
      </w:r>
    </w:p>
    <w:p w14:paraId="5670009F" w14:textId="77777777" w:rsidR="00E945B1" w:rsidRPr="001B701A" w:rsidRDefault="00000000" w:rsidP="00DC764E">
      <w:pPr>
        <w:numPr>
          <w:ilvl w:val="0"/>
          <w:numId w:val="10"/>
        </w:numPr>
        <w:spacing w:before="120" w:after="0" w:line="360" w:lineRule="auto"/>
        <w:ind w:left="0"/>
        <w:jc w:val="both"/>
      </w:pPr>
      <w:r w:rsidRPr="001B701A">
        <w:t>El Encargo es un documento breve, en castellano y tipografía clara, e identifica los servicios contratados en su cláusula 1, del siguiente tenor:</w:t>
      </w:r>
    </w:p>
    <w:p w14:paraId="21D4BA57" w14:textId="77777777" w:rsidR="00E945B1" w:rsidRPr="001B701A" w:rsidRDefault="00000000">
      <w:pPr>
        <w:spacing w:before="120" w:after="120" w:line="360" w:lineRule="auto"/>
        <w:ind w:left="567"/>
        <w:jc w:val="both"/>
      </w:pPr>
      <w:r w:rsidRPr="001B701A">
        <w:rPr>
          <w:i/>
          <w:sz w:val="20"/>
        </w:rPr>
        <w:t xml:space="preserve">«El Cliente contrata a Engel &amp; Völkers para que le preste los servicios de asesoramiento sobre inmuebles en régimen de arrendamiento, incluyendo, entre otros y con carácter meramente enunciativo, los </w:t>
      </w:r>
      <w:r w:rsidRPr="001B701A">
        <w:rPr>
          <w:i/>
          <w:sz w:val="20"/>
        </w:rPr>
        <w:lastRenderedPageBreak/>
        <w:t>siguientes: búsqueda de inmuebles dentro de la base de propiedades de la Agencia que cumpla las características indicadas; información de la zona de interés (colegios, centros comerciales, transporte público, parkings); acceso a la cartera de propiedades de la Agencia; envío de fotografías y vídeos de las propiedades seleccionadas y, en su caso, acompañamiento personalizado en las visitas; resolución de dudas y preguntas para una toma de decisión informada; posicionamiento del perfil del Cliente ante el propietario, sobre la base de la documentación de solvencia bancaria que el Cliente presente; facilitación de información, acceso y contacto con colaboradores de la Agencia (por ejemplo, para el cambio de suministros); gestión INCASOL [específico para Cataluña; eliminar fuera]; gestión tributaria derivada de la formalización del contrato (pago de impuestos derivados del ITP) [específico para Cataluña; eliminar fuera]; soporte en la gestión de cita para la obtención del Número de Identidad de Extranjeros (NIE) cuando sea necesario; seguimiento de la vida del contrato, informando con tiempo suficiente al arrendatario de las fechas de prórroga y de finalización; soporte en la gestión de la apertura de una cuenta bancaria, si el Cliente lo requiere; información de compañías de telecomunicaciones de internet, televisión y teléfono; orientación e información sobre cultura, tradiciones, festivos, colegios y centros educativos de cada zona; asistencia en la contratación de seguro del hogar y/o fondos de garantía; inspección de la finca previa a la ocupación, con comprobación del funcionamiento de las instalaciones y electrodomésticos, informando a las partes sobre su estado; gestión del cambio de titularidad o alta de los suministros de la propiedad arrendada; coordinación y entrega de llaves; facilitación de información sobre edificios gubernativos, por ejemplo, formularios de solicitud de residencia o empadronamiento; y asistencia durante los quince días posteriores a la firma del contrato, para informar al arrendador de eventuales daños en la propiedad, mobiliario o electrodomésticos. De conformidad con la Ley 12/2023, de 24 de mayo, por el derecho a la vivienda se informa expresamente al Cliente que estos servicios no constituyen gestión inmobiliaria ni formalización de contrato, cuyo coste son asumidos por la propiedad del inmueble o por terceros colaboradores. El servicio prestado al Cliente consiste en la asesoría personalizada al Cliente de la búsqueda de una propiedad para alquilar, facilitando el acceso a una cartera de propiedades y brindándole los medios que optimicen su búsqueda y acompañamiento.»</w:t>
      </w:r>
    </w:p>
    <w:p w14:paraId="78FD68A1" w14:textId="77777777" w:rsidR="00E945B1" w:rsidRPr="001B701A" w:rsidRDefault="00000000" w:rsidP="00DC764E">
      <w:pPr>
        <w:numPr>
          <w:ilvl w:val="0"/>
          <w:numId w:val="10"/>
        </w:numPr>
        <w:spacing w:before="120" w:after="0" w:line="360" w:lineRule="auto"/>
        <w:ind w:left="0"/>
        <w:jc w:val="both"/>
      </w:pPr>
      <w:r w:rsidRPr="001B701A">
        <w:t>El Encargo, además, fija el precio en un diez por ciento de la renta anual más IVA, el devengo en la aceptación de la oferta por el propietario y la forma de pago; prevé la devolución íntegra del pago por seriedad en cuatro días hábiles si no se devengan honorarios; y reconoce el desistimiento de catorce días que asiste al consumidor.</w:t>
      </w:r>
    </w:p>
    <w:p w14:paraId="2CA3DE34" w14:textId="77777777" w:rsidR="00E945B1" w:rsidRPr="001B701A" w:rsidRDefault="00000000">
      <w:pPr>
        <w:spacing w:before="120" w:after="0" w:line="360" w:lineRule="auto"/>
        <w:jc w:val="center"/>
        <w:rPr>
          <w:highlight w:val="yellow"/>
        </w:rPr>
      </w:pPr>
      <w:r w:rsidRPr="001B701A">
        <w:rPr>
          <w:b/>
          <w:highlight w:val="yellow"/>
        </w:rPr>
        <w:t>═══════════════════════════════════════════════════════</w:t>
      </w:r>
    </w:p>
    <w:p w14:paraId="25903228" w14:textId="45F4B3F3" w:rsidR="00E945B1" w:rsidRPr="001B701A" w:rsidRDefault="00000000">
      <w:pPr>
        <w:spacing w:after="0" w:line="360" w:lineRule="auto"/>
        <w:jc w:val="center"/>
        <w:rPr>
          <w:highlight w:val="yellow"/>
        </w:rPr>
      </w:pPr>
      <w:r w:rsidRPr="001B701A">
        <w:rPr>
          <w:b/>
          <w:i/>
          <w:highlight w:val="yellow"/>
        </w:rPr>
        <w:t xml:space="preserve">[NOTA AL LETRADO — adaptar la enumeración de servicios y la fórmula de honorarios al modelo de Encargo </w:t>
      </w:r>
      <w:r w:rsidR="001B701A" w:rsidRPr="001B701A">
        <w:rPr>
          <w:b/>
          <w:i/>
          <w:highlight w:val="yellow"/>
        </w:rPr>
        <w:t>aplicable en cada caso</w:t>
      </w:r>
    </w:p>
    <w:p w14:paraId="27E0E407" w14:textId="77777777" w:rsidR="00E945B1" w:rsidRPr="001B701A" w:rsidRDefault="00000000">
      <w:pPr>
        <w:spacing w:after="120" w:line="360" w:lineRule="auto"/>
        <w:jc w:val="center"/>
      </w:pPr>
      <w:r w:rsidRPr="001B701A">
        <w:rPr>
          <w:b/>
          <w:highlight w:val="yellow"/>
        </w:rPr>
        <w:t>═══════════════════════════════════════════════════════</w:t>
      </w:r>
    </w:p>
    <w:p w14:paraId="79989C8F" w14:textId="77777777" w:rsidR="00E945B1" w:rsidRPr="001B701A" w:rsidRDefault="00000000" w:rsidP="00DC764E">
      <w:pPr>
        <w:numPr>
          <w:ilvl w:val="0"/>
          <w:numId w:val="10"/>
        </w:numPr>
        <w:spacing w:before="120" w:after="0" w:line="360" w:lineRule="auto"/>
        <w:ind w:left="0"/>
        <w:jc w:val="both"/>
      </w:pPr>
      <w:r w:rsidRPr="001B701A">
        <w:lastRenderedPageBreak/>
        <w:t>El actor firmó el Encargo sin objeción, sin pedir modificación ni aclaración adicional, y sin invocar desconocimiento del contenido o de las consecuencias económicas del contrato.</w:t>
      </w:r>
    </w:p>
    <w:p w14:paraId="6EBB06BE"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5</w:t>
      </w:r>
      <w:r w:rsidRPr="001B701A">
        <w:t xml:space="preserve"> el Encargo firmado por el actor.</w:t>
      </w:r>
    </w:p>
    <w:p w14:paraId="6D212FA0" w14:textId="77777777" w:rsidR="0095558C" w:rsidRPr="001B701A" w:rsidRDefault="0095558C">
      <w:pPr>
        <w:spacing w:before="120" w:after="0" w:line="360" w:lineRule="auto"/>
        <w:jc w:val="both"/>
        <w:rPr>
          <w:b/>
          <w:bCs/>
          <w:i/>
        </w:rPr>
      </w:pPr>
    </w:p>
    <w:p w14:paraId="17FE9D57" w14:textId="3DFB4F62" w:rsidR="00E945B1" w:rsidRPr="001B701A" w:rsidRDefault="00000000">
      <w:pPr>
        <w:spacing w:before="120" w:after="0" w:line="360" w:lineRule="auto"/>
        <w:jc w:val="both"/>
        <w:rPr>
          <w:b/>
          <w:bCs/>
        </w:rPr>
      </w:pPr>
      <w:r w:rsidRPr="001B701A">
        <w:rPr>
          <w:b/>
          <w:bCs/>
          <w:i/>
        </w:rPr>
        <w:t>2.3. Oferta y posterior contrato de arrendamiento.</w:t>
      </w:r>
    </w:p>
    <w:p w14:paraId="1DE6BEE4" w14:textId="77777777" w:rsidR="00E945B1" w:rsidRPr="001B701A" w:rsidRDefault="00000000" w:rsidP="00DC764E">
      <w:pPr>
        <w:numPr>
          <w:ilvl w:val="0"/>
          <w:numId w:val="10"/>
        </w:numPr>
        <w:spacing w:before="120" w:after="0" w:line="360" w:lineRule="auto"/>
        <w:ind w:left="0"/>
        <w:jc w:val="both"/>
      </w:pPr>
      <w:r w:rsidRPr="001B701A">
        <w:t xml:space="preserve">Tras la firma del Encargo y en su ejecución, el actor suscribió la oferta de arrendamiento, en cuyo encabezamiento reitera por escrito haber </w:t>
      </w:r>
      <w:r w:rsidRPr="001B701A">
        <w:rPr>
          <w:i/>
          <w:iCs/>
        </w:rPr>
        <w:t>«contratado a Engel &amp; Völkers para que, entre otros servicios, proceda a la localización de un inmueble en régimen de arrendamiento y otros servicios individualizados en atención a sus circunstancias personales».</w:t>
      </w:r>
      <w:r w:rsidRPr="001B701A">
        <w:t xml:space="preserve"> El documento recoge, además, la siguiente mención sobre los gastos del contrato de arrendamiento:</w:t>
      </w:r>
    </w:p>
    <w:p w14:paraId="3835F1B8" w14:textId="77777777" w:rsidR="00E945B1" w:rsidRPr="001B701A" w:rsidRDefault="00000000">
      <w:pPr>
        <w:spacing w:before="120" w:after="120" w:line="360" w:lineRule="auto"/>
        <w:ind w:left="567"/>
        <w:jc w:val="both"/>
      </w:pPr>
      <w:r w:rsidRPr="001B701A">
        <w:rPr>
          <w:i/>
          <w:sz w:val="20"/>
        </w:rPr>
        <w:t>«Gastos de intermediación y formalización del contrato: Propiedad o terceros colaboradores.»</w:t>
      </w:r>
    </w:p>
    <w:p w14:paraId="0886DEDD"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6</w:t>
      </w:r>
      <w:r w:rsidRPr="001B701A">
        <w:t xml:space="preserve"> la oferta de arrendamiento suscrita por el actor.</w:t>
      </w:r>
    </w:p>
    <w:p w14:paraId="39206E8C" w14:textId="77777777" w:rsidR="00E945B1" w:rsidRPr="001B701A" w:rsidRDefault="00000000" w:rsidP="00DC764E">
      <w:pPr>
        <w:numPr>
          <w:ilvl w:val="0"/>
          <w:numId w:val="10"/>
        </w:numPr>
        <w:spacing w:before="120" w:after="0" w:line="360" w:lineRule="auto"/>
        <w:ind w:left="0"/>
        <w:jc w:val="both"/>
      </w:pPr>
      <w:r w:rsidRPr="001B701A">
        <w:t>La Agencia trasladó la oferta al propietario, presentó el perfil del actor, defendió sus intereses en la negociación de los términos económicos y accesorios y obtuvo la aceptación. Como consecuencia directa de esa actividad, el actor y el propietario suscribieron en la fecha convenida el contrato de arrendamiento del Inmueble, en los términos negociados por la Agencia.</w:t>
      </w:r>
    </w:p>
    <w:p w14:paraId="2C3DB56C"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7</w:t>
      </w:r>
      <w:r w:rsidRPr="001B701A">
        <w:t xml:space="preserve"> el contrato de arrendamiento.</w:t>
      </w:r>
    </w:p>
    <w:p w14:paraId="1403DE6D" w14:textId="77777777" w:rsidR="0095558C" w:rsidRPr="001B701A" w:rsidRDefault="0095558C">
      <w:pPr>
        <w:spacing w:before="120" w:after="0" w:line="360" w:lineRule="auto"/>
        <w:jc w:val="both"/>
        <w:rPr>
          <w:b/>
          <w:bCs/>
          <w:i/>
        </w:rPr>
      </w:pPr>
    </w:p>
    <w:p w14:paraId="5665AB6D" w14:textId="538798F5" w:rsidR="00E945B1" w:rsidRPr="001B701A" w:rsidRDefault="00000000">
      <w:pPr>
        <w:spacing w:before="120" w:after="0" w:line="360" w:lineRule="auto"/>
        <w:jc w:val="both"/>
        <w:rPr>
          <w:b/>
          <w:bCs/>
        </w:rPr>
      </w:pPr>
      <w:r w:rsidRPr="001B701A">
        <w:rPr>
          <w:b/>
          <w:bCs/>
          <w:i/>
        </w:rPr>
        <w:t>2.4. Buen fin de la mediación, devengo, factura y pago.</w:t>
      </w:r>
    </w:p>
    <w:p w14:paraId="156E6179" w14:textId="77777777" w:rsidR="00E945B1" w:rsidRPr="001B701A" w:rsidRDefault="00000000" w:rsidP="00DC764E">
      <w:pPr>
        <w:numPr>
          <w:ilvl w:val="0"/>
          <w:numId w:val="10"/>
        </w:numPr>
        <w:spacing w:before="120" w:after="0" w:line="360" w:lineRule="auto"/>
        <w:ind w:left="0"/>
        <w:jc w:val="both"/>
      </w:pPr>
      <w:r w:rsidRPr="001B701A">
        <w:t>Aceptada la oferta y firmado el arrendamiento, los honorarios se devengaron a favor de la Agencia conforme a la cláusula 3 del Encargo. La Agencia emitió al actor factura, con desglose del concepto, base imponible e IVA repercutido, y aplicó al pago la cantidad que el actor había entregado previamente en concepto de seriedad.</w:t>
      </w:r>
    </w:p>
    <w:p w14:paraId="469E0F83"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8</w:t>
      </w:r>
      <w:r w:rsidRPr="001B701A">
        <w:t xml:space="preserve"> la factura emitida al actor.</w:t>
      </w:r>
    </w:p>
    <w:p w14:paraId="49F9C57A" w14:textId="77777777" w:rsidR="0095558C" w:rsidRPr="001B701A" w:rsidRDefault="0095558C">
      <w:pPr>
        <w:spacing w:before="120" w:after="0" w:line="360" w:lineRule="auto"/>
        <w:jc w:val="both"/>
        <w:rPr>
          <w:b/>
          <w:bCs/>
          <w:i/>
        </w:rPr>
      </w:pPr>
    </w:p>
    <w:p w14:paraId="1AA3D74B" w14:textId="0ECF83A3" w:rsidR="00E945B1" w:rsidRPr="001B701A" w:rsidRDefault="00000000">
      <w:pPr>
        <w:spacing w:before="120" w:after="0" w:line="360" w:lineRule="auto"/>
        <w:jc w:val="both"/>
      </w:pPr>
      <w:r w:rsidRPr="001B701A">
        <w:rPr>
          <w:b/>
          <w:bCs/>
          <w:i/>
        </w:rPr>
        <w:t>2.5. Prestación efectiva de los servicios contratados</w:t>
      </w:r>
      <w:r w:rsidRPr="001B701A">
        <w:rPr>
          <w:i/>
        </w:rPr>
        <w:t>.</w:t>
      </w:r>
    </w:p>
    <w:p w14:paraId="1A8717DD" w14:textId="77777777" w:rsidR="00E945B1" w:rsidRPr="001B701A" w:rsidRDefault="00000000" w:rsidP="00DC764E">
      <w:pPr>
        <w:numPr>
          <w:ilvl w:val="0"/>
          <w:numId w:val="10"/>
        </w:numPr>
        <w:spacing w:before="120" w:after="0" w:line="360" w:lineRule="auto"/>
        <w:ind w:left="0"/>
        <w:jc w:val="both"/>
      </w:pPr>
      <w:r w:rsidRPr="001B701A">
        <w:t xml:space="preserve">La documental aportada y los hechos expuestos acreditan la prestación efectiva de los servicios enumerados en la cláusula 1 del Encargo: la </w:t>
      </w:r>
      <w:r w:rsidRPr="001B701A">
        <w:rPr>
          <w:i/>
        </w:rPr>
        <w:t>búsqueda y selección de inmuebles</w:t>
      </w:r>
      <w:r w:rsidRPr="001B701A">
        <w:t xml:space="preserve"> y el </w:t>
      </w:r>
      <w:r w:rsidRPr="001B701A">
        <w:rPr>
          <w:i/>
        </w:rPr>
        <w:t xml:space="preserve">acceso a </w:t>
      </w:r>
      <w:r w:rsidRPr="001B701A">
        <w:rPr>
          <w:i/>
        </w:rPr>
        <w:lastRenderedPageBreak/>
        <w:t>la cartera privada</w:t>
      </w:r>
      <w:r w:rsidRPr="001B701A">
        <w:t>, por la remisión del exposé (</w:t>
      </w:r>
      <w:r w:rsidRPr="001B701A">
        <w:rPr>
          <w:b/>
        </w:rPr>
        <w:t>Documento nº 2</w:t>
      </w:r>
      <w:r w:rsidRPr="001B701A">
        <w:t>) y por las comunicaciones del consultor (</w:t>
      </w:r>
      <w:r w:rsidRPr="001B701A">
        <w:rPr>
          <w:b/>
        </w:rPr>
        <w:t>Documento nº 4</w:t>
      </w:r>
      <w:r w:rsidRPr="001B701A">
        <w:t xml:space="preserve">); el </w:t>
      </w:r>
      <w:r w:rsidRPr="001B701A">
        <w:rPr>
          <w:i/>
        </w:rPr>
        <w:t>envío de fotografías y vídeos</w:t>
      </w:r>
      <w:r w:rsidRPr="001B701A">
        <w:t xml:space="preserve"> y el </w:t>
      </w:r>
      <w:r w:rsidRPr="001B701A">
        <w:rPr>
          <w:i/>
        </w:rPr>
        <w:t>acompañamiento personalizado en visitas</w:t>
      </w:r>
      <w:r w:rsidRPr="001B701A">
        <w:t>, por las propias comunicaciones y por el reconocimiento del actor en la oferta de arrendamiento (</w:t>
      </w:r>
      <w:r w:rsidRPr="001B701A">
        <w:rPr>
          <w:b/>
        </w:rPr>
        <w:t>Documento nº 6</w:t>
      </w:r>
      <w:r w:rsidRPr="001B701A">
        <w:t xml:space="preserve">); la </w:t>
      </w:r>
      <w:r w:rsidRPr="001B701A">
        <w:rPr>
          <w:i/>
        </w:rPr>
        <w:t>información de la zona y resolución de dudas</w:t>
      </w:r>
      <w:r w:rsidRPr="001B701A">
        <w:t xml:space="preserve">, por las comunicaciones precontractuales; el </w:t>
      </w:r>
      <w:r w:rsidRPr="001B701A">
        <w:rPr>
          <w:i/>
        </w:rPr>
        <w:t>posicionamiento del perfil ante el propietario con elaboración del informe profesional</w:t>
      </w:r>
      <w:r w:rsidRPr="001B701A">
        <w:t xml:space="preserve">, por la entrega de la documentación de solvencia conforme a la estipulación 4 de la oferta y el cumplimiento de las obligaciones que la Agencia asumió frente al actor; la </w:t>
      </w:r>
      <w:r w:rsidRPr="001B701A">
        <w:rPr>
          <w:i/>
        </w:rPr>
        <w:t>negociación con el propietario en interés del actor</w:t>
      </w:r>
      <w:r w:rsidRPr="001B701A">
        <w:t>, por la perfección del contrato de arrendamiento en términos pactados (</w:t>
      </w:r>
      <w:r w:rsidRPr="001B701A">
        <w:rPr>
          <w:b/>
        </w:rPr>
        <w:t>Documento nº 7</w:t>
      </w:r>
      <w:r w:rsidRPr="001B701A">
        <w:t xml:space="preserve">); y la </w:t>
      </w:r>
      <w:r w:rsidRPr="001B701A">
        <w:rPr>
          <w:i/>
        </w:rPr>
        <w:t>revisión a la entrega de llaves, el cambio de titularidad de suministros y la interlocución posterior</w:t>
      </w:r>
      <w:r w:rsidRPr="001B701A">
        <w:t>, por las gestiones documentadas durante la entrada en posesión y la vigencia del arrendamiento.</w:t>
      </w:r>
    </w:p>
    <w:p w14:paraId="1423688F" w14:textId="77777777" w:rsidR="0095558C" w:rsidRPr="001B701A" w:rsidRDefault="0095558C">
      <w:pPr>
        <w:spacing w:before="240" w:after="120" w:line="360" w:lineRule="auto"/>
        <w:jc w:val="both"/>
        <w:rPr>
          <w:b/>
        </w:rPr>
      </w:pPr>
    </w:p>
    <w:p w14:paraId="4BAB34ED" w14:textId="38C26181" w:rsidR="00E945B1" w:rsidRPr="001B701A" w:rsidRDefault="00000000">
      <w:pPr>
        <w:spacing w:before="240" w:after="120" w:line="360" w:lineRule="auto"/>
        <w:jc w:val="both"/>
      </w:pPr>
      <w:r w:rsidRPr="001B701A">
        <w:rPr>
          <w:b/>
        </w:rPr>
        <w:t>TERCERO.- HECHOS OMITIDOS O TERGIVERSADOS POR LA PARTE ACTORA.</w:t>
      </w:r>
    </w:p>
    <w:p w14:paraId="021A586B" w14:textId="77777777" w:rsidR="00E945B1" w:rsidRPr="001B701A" w:rsidRDefault="00000000" w:rsidP="00DC764E">
      <w:pPr>
        <w:numPr>
          <w:ilvl w:val="0"/>
          <w:numId w:val="10"/>
        </w:numPr>
        <w:spacing w:before="120" w:after="0" w:line="360" w:lineRule="auto"/>
        <w:ind w:left="0"/>
        <w:jc w:val="both"/>
      </w:pPr>
      <w:r w:rsidRPr="001B701A">
        <w:t>Sobre el relato de los Hechos Primero y Segundo —cuya prueba documental obra en autos— se proyecta el silencio selectivo de la demanda. La actora omite tres bloques de hechos cuya constancia le era accesible y que, incluidos, habrían desactivado en raíz las pretensiones que sostiene.</w:t>
      </w:r>
    </w:p>
    <w:p w14:paraId="6DDDD500" w14:textId="77777777" w:rsidR="001B701A" w:rsidRPr="001B701A" w:rsidRDefault="001B701A" w:rsidP="001B701A">
      <w:pPr>
        <w:spacing w:before="120" w:after="0" w:line="360" w:lineRule="auto"/>
        <w:jc w:val="both"/>
      </w:pPr>
    </w:p>
    <w:p w14:paraId="47BEBF10" w14:textId="15736220" w:rsidR="00E945B1" w:rsidRPr="001B701A" w:rsidRDefault="00000000" w:rsidP="00565A6A">
      <w:pPr>
        <w:spacing w:before="120" w:after="0" w:line="360" w:lineRule="auto"/>
        <w:jc w:val="both"/>
        <w:rPr>
          <w:b/>
          <w:bCs/>
        </w:rPr>
      </w:pPr>
      <w:r w:rsidRPr="001B701A">
        <w:rPr>
          <w:b/>
          <w:bCs/>
          <w:i/>
        </w:rPr>
        <w:t>3.1. La narrativa del «encontró el piso por sí mismo» — inversión causa-efecto.</w:t>
      </w:r>
    </w:p>
    <w:p w14:paraId="7BB49982" w14:textId="77777777" w:rsidR="00E945B1" w:rsidRPr="001B701A" w:rsidRDefault="00000000" w:rsidP="0095558C">
      <w:pPr>
        <w:numPr>
          <w:ilvl w:val="0"/>
          <w:numId w:val="10"/>
        </w:numPr>
        <w:spacing w:before="120" w:after="0" w:line="360" w:lineRule="auto"/>
        <w:ind w:left="0"/>
        <w:jc w:val="both"/>
      </w:pPr>
      <w:r w:rsidRPr="001B701A">
        <w:t>La demanda presenta al actor como quien «encontró el piso por sí mismo» en internet, como si la presencia del anuncio fuera un dato espontáneo del mercado ajeno a la actividad de la Agencia. La realidad documental es la opuesta: el Inmueble no estuvo en internet hasta que la Agencia lo captó, lo valoró, lo fotografió, redactó el exposé, sufragó los servicios de publicación y lo posicionó comercialmente. Sólo como resultado directo y exclusivo de esa actividad profesional el Inmueble pudo ser visto y solicitado por el actor —Documentos nº 1, 2 y 3—. La narrativa actora invierte la relación causa-efecto.</w:t>
      </w:r>
    </w:p>
    <w:p w14:paraId="78D8B5B9" w14:textId="77777777" w:rsidR="0095558C" w:rsidRPr="001B701A" w:rsidRDefault="0095558C">
      <w:pPr>
        <w:spacing w:before="120" w:after="0" w:line="360" w:lineRule="auto"/>
        <w:jc w:val="both"/>
        <w:rPr>
          <w:b/>
          <w:bCs/>
          <w:i/>
        </w:rPr>
      </w:pPr>
    </w:p>
    <w:p w14:paraId="5A72191F" w14:textId="768F7717" w:rsidR="00E945B1" w:rsidRPr="001B701A" w:rsidRDefault="00000000">
      <w:pPr>
        <w:spacing w:before="120" w:after="0" w:line="360" w:lineRule="auto"/>
        <w:jc w:val="both"/>
        <w:rPr>
          <w:b/>
          <w:bCs/>
        </w:rPr>
      </w:pPr>
      <w:r w:rsidRPr="001B701A">
        <w:rPr>
          <w:b/>
          <w:bCs/>
          <w:i/>
        </w:rPr>
        <w:t>3.2. Omisión de la cláusula 1 del Encargo y del apartado «Comisión y condiciones» del exposé.</w:t>
      </w:r>
    </w:p>
    <w:p w14:paraId="663A8EB4" w14:textId="77777777" w:rsidR="00E945B1" w:rsidRPr="001B701A" w:rsidRDefault="00000000" w:rsidP="001B701A">
      <w:pPr>
        <w:numPr>
          <w:ilvl w:val="0"/>
          <w:numId w:val="10"/>
        </w:numPr>
        <w:spacing w:before="120" w:after="0" w:line="360" w:lineRule="auto"/>
        <w:ind w:left="0"/>
        <w:jc w:val="both"/>
      </w:pPr>
      <w:r w:rsidRPr="001B701A">
        <w:lastRenderedPageBreak/>
        <w:t>La demanda omite el contenido de los dos documentos en los que la Agencia informó al actor, antes de la firma, de la naturaleza onerosa del servicio y de su régimen jurídico diferenciado del art. 20.1 LAU: el apartado «Comisión y condiciones» del exposé (</w:t>
      </w:r>
      <w:r w:rsidRPr="001B701A">
        <w:rPr>
          <w:b/>
        </w:rPr>
        <w:t>Documento nº 2</w:t>
      </w:r>
      <w:r w:rsidRPr="001B701A">
        <w:t>) y la cláusula 1 del Encargo (</w:t>
      </w:r>
      <w:r w:rsidRPr="001B701A">
        <w:rPr>
          <w:b/>
        </w:rPr>
        <w:t>Documento nº 5</w:t>
      </w:r>
      <w:r w:rsidRPr="001B701A">
        <w:t xml:space="preserve">), ambas transcritas </w:t>
      </w:r>
      <w:r w:rsidRPr="001B701A">
        <w:rPr>
          <w:i/>
        </w:rPr>
        <w:t>supra</w:t>
      </w:r>
      <w:r w:rsidRPr="001B701A">
        <w:t xml:space="preserve"> en el Hecho Segundo. Las dos advertencias, en castellano y tipografía clara, fueron leídas y aceptadas por el actor antes de cualquier compromiso económico.</w:t>
      </w:r>
    </w:p>
    <w:p w14:paraId="341645D4" w14:textId="77777777" w:rsidR="0095558C" w:rsidRPr="001B701A" w:rsidRDefault="0095558C">
      <w:pPr>
        <w:spacing w:before="120" w:after="0" w:line="360" w:lineRule="auto"/>
        <w:jc w:val="both"/>
        <w:rPr>
          <w:b/>
          <w:bCs/>
          <w:i/>
        </w:rPr>
      </w:pPr>
    </w:p>
    <w:p w14:paraId="6F81846D" w14:textId="40BD2A8D" w:rsidR="00E945B1" w:rsidRPr="001B701A" w:rsidRDefault="00000000">
      <w:pPr>
        <w:spacing w:before="120" w:after="0" w:line="360" w:lineRule="auto"/>
        <w:jc w:val="both"/>
        <w:rPr>
          <w:b/>
          <w:bCs/>
        </w:rPr>
      </w:pPr>
      <w:r w:rsidRPr="001B701A">
        <w:rPr>
          <w:b/>
          <w:bCs/>
          <w:i/>
        </w:rPr>
        <w:t>3.3. Omisión de la oferta firmada y, en su caso, de la factura al propietario.</w:t>
      </w:r>
    </w:p>
    <w:p w14:paraId="56C23F29" w14:textId="77777777" w:rsidR="00E945B1" w:rsidRPr="001B701A" w:rsidRDefault="00000000" w:rsidP="00DC764E">
      <w:pPr>
        <w:numPr>
          <w:ilvl w:val="0"/>
          <w:numId w:val="10"/>
        </w:numPr>
        <w:spacing w:before="120" w:after="0" w:line="360" w:lineRule="auto"/>
        <w:ind w:left="0"/>
        <w:jc w:val="both"/>
        <w:rPr>
          <w:highlight w:val="yellow"/>
        </w:rPr>
      </w:pPr>
      <w:r w:rsidRPr="001B701A">
        <w:t>La demanda silencia la oferta de arrendamiento (</w:t>
      </w:r>
      <w:r w:rsidRPr="001B701A">
        <w:rPr>
          <w:b/>
        </w:rPr>
        <w:t>Documento nº 6</w:t>
      </w:r>
      <w:r w:rsidRPr="001B701A">
        <w:t xml:space="preserve">), donde el propio actor reconoce por escrito haber «contratado a Engel &amp; Völkers» y donde se atribuyen contractualmente los gastos de intermediación y formalización al propietario. </w:t>
      </w:r>
      <w:r w:rsidRPr="001B701A">
        <w:rPr>
          <w:b/>
          <w:highlight w:val="yellow"/>
        </w:rPr>
        <w:t xml:space="preserve">[VARIANTE — añadir si procede: </w:t>
      </w:r>
      <w:r w:rsidRPr="001B701A">
        <w:rPr>
          <w:highlight w:val="yellow"/>
        </w:rPr>
        <w:t>La demanda silencia, asimismo, la factura que la Agencia emitió al propietario por los servicios de gestión inmobiliaria reservados al arrendador (Documento nº 9), cuya existencia desactiva la tesis actora de repercusión al arrendatario de los gastos del art. 20.1 LAU.</w:t>
      </w:r>
      <w:r w:rsidRPr="001B701A">
        <w:rPr>
          <w:b/>
          <w:highlight w:val="yellow"/>
        </w:rPr>
        <w:t>]</w:t>
      </w:r>
    </w:p>
    <w:p w14:paraId="30632457" w14:textId="5F6DD876" w:rsidR="0095558C" w:rsidRPr="001B701A" w:rsidRDefault="00000000" w:rsidP="00DC764E">
      <w:pPr>
        <w:numPr>
          <w:ilvl w:val="0"/>
          <w:numId w:val="10"/>
        </w:numPr>
        <w:spacing w:before="120" w:after="0" w:line="360" w:lineRule="auto"/>
        <w:ind w:left="0"/>
        <w:jc w:val="both"/>
      </w:pPr>
      <w:r w:rsidRPr="001B701A">
        <w:t>Estos hechos omitidos o tergiversados constituyen el sustrato fáctico común sobre el que se desarrollan los motivos de oposición que se exponen en los Hechos siguientes.</w:t>
      </w:r>
    </w:p>
    <w:p w14:paraId="76BD51E5" w14:textId="77777777" w:rsidR="0095558C" w:rsidRPr="001B701A" w:rsidRDefault="0095558C">
      <w:pPr>
        <w:spacing w:before="240" w:after="120" w:line="360" w:lineRule="auto"/>
        <w:jc w:val="both"/>
        <w:rPr>
          <w:b/>
        </w:rPr>
      </w:pPr>
    </w:p>
    <w:p w14:paraId="4AC3FB3A" w14:textId="6B855FE9" w:rsidR="00E945B1" w:rsidRPr="001B701A" w:rsidRDefault="00000000">
      <w:pPr>
        <w:spacing w:before="240" w:after="120" w:line="360" w:lineRule="auto"/>
        <w:jc w:val="both"/>
      </w:pPr>
      <w:r w:rsidRPr="001B701A">
        <w:rPr>
          <w:b/>
        </w:rPr>
        <w:t xml:space="preserve">CUARTO.- LA AGENCIA CARECE DE LEGITIMACIÓN PASIVA </w:t>
      </w:r>
      <w:r w:rsidRPr="001B701A">
        <w:rPr>
          <w:b/>
          <w:i/>
          <w:iCs/>
        </w:rPr>
        <w:t>AD CAUSAM</w:t>
      </w:r>
      <w:r w:rsidRPr="001B701A">
        <w:rPr>
          <w:b/>
        </w:rPr>
        <w:t xml:space="preserve"> EN LA ACCIÓN FUNDADA EN EL ARTÍCULO 20.1 LAU.</w:t>
      </w:r>
    </w:p>
    <w:p w14:paraId="5B89C1B3" w14:textId="77777777" w:rsidR="00E945B1" w:rsidRPr="001B701A" w:rsidRDefault="00000000">
      <w:pPr>
        <w:spacing w:before="120" w:after="0" w:line="360" w:lineRule="auto"/>
        <w:jc w:val="both"/>
        <w:rPr>
          <w:b/>
          <w:bCs/>
        </w:rPr>
      </w:pPr>
      <w:r w:rsidRPr="001B701A">
        <w:rPr>
          <w:b/>
          <w:bCs/>
          <w:i/>
        </w:rPr>
        <w:t>4.1. Tesis del motivo.</w:t>
      </w:r>
    </w:p>
    <w:p w14:paraId="4ED8E3DE" w14:textId="77777777" w:rsidR="00E945B1" w:rsidRPr="001B701A" w:rsidRDefault="00000000" w:rsidP="00DC764E">
      <w:pPr>
        <w:numPr>
          <w:ilvl w:val="0"/>
          <w:numId w:val="10"/>
        </w:numPr>
        <w:spacing w:before="120" w:after="0" w:line="360" w:lineRule="auto"/>
        <w:ind w:left="0"/>
        <w:jc w:val="both"/>
      </w:pPr>
      <w:r w:rsidRPr="001B701A">
        <w:t>El art. 20.1, último párrafo, LAU obliga exclusivamente al arrendador en el marco de la relación arrendaticia. La Agencia, ajena a esa relación, carece de la posición objetiva que la legitimaría como parte pasiva en una acción fundada en el precepto.</w:t>
      </w:r>
    </w:p>
    <w:p w14:paraId="675C471D" w14:textId="77777777" w:rsidR="0095558C" w:rsidRPr="001B701A" w:rsidRDefault="0095558C">
      <w:pPr>
        <w:spacing w:before="120" w:after="0" w:line="360" w:lineRule="auto"/>
        <w:jc w:val="both"/>
        <w:rPr>
          <w:b/>
          <w:bCs/>
          <w:i/>
        </w:rPr>
      </w:pPr>
    </w:p>
    <w:p w14:paraId="71AA8E71" w14:textId="2CA59545" w:rsidR="00E945B1" w:rsidRPr="001B701A" w:rsidRDefault="00000000">
      <w:pPr>
        <w:spacing w:before="120" w:after="0" w:line="360" w:lineRule="auto"/>
        <w:jc w:val="both"/>
        <w:rPr>
          <w:b/>
          <w:bCs/>
        </w:rPr>
      </w:pPr>
      <w:r w:rsidRPr="001B701A">
        <w:rPr>
          <w:b/>
          <w:bCs/>
          <w:i/>
        </w:rPr>
        <w:t>4.2. Soporte fáctico.</w:t>
      </w:r>
    </w:p>
    <w:p w14:paraId="37277A3D" w14:textId="77777777" w:rsidR="00E945B1" w:rsidRPr="001B701A" w:rsidRDefault="00000000" w:rsidP="00DC764E">
      <w:pPr>
        <w:numPr>
          <w:ilvl w:val="0"/>
          <w:numId w:val="10"/>
        </w:numPr>
        <w:spacing w:before="120" w:after="0" w:line="360" w:lineRule="auto"/>
        <w:ind w:left="0"/>
        <w:jc w:val="both"/>
      </w:pPr>
      <w:r w:rsidRPr="001B701A">
        <w:t xml:space="preserve">La operación de autos se articula sobre tres relaciones jurídicas autónomas e independientes: (i) la </w:t>
      </w:r>
      <w:r w:rsidRPr="001B701A">
        <w:rPr>
          <w:i/>
        </w:rPr>
        <w:t>relación de mediación con el propietario</w:t>
      </w:r>
      <w:r w:rsidRPr="001B701A">
        <w:t>, en virtud del encargo de arrendamiento (</w:t>
      </w:r>
      <w:r w:rsidRPr="001B701A">
        <w:rPr>
          <w:b/>
        </w:rPr>
        <w:t>Documento nº 1</w:t>
      </w:r>
      <w:r w:rsidRPr="001B701A">
        <w:t xml:space="preserve">), por la que la Agencia asumió frente a aquél las obligaciones de captación, comercialización, gestión documental y formalización del contrato de arrendamiento; (ii) la </w:t>
      </w:r>
      <w:r w:rsidRPr="001B701A">
        <w:rPr>
          <w:i/>
        </w:rPr>
        <w:lastRenderedPageBreak/>
        <w:t>relación de asesoría con el actor</w:t>
      </w:r>
      <w:r w:rsidRPr="001B701A">
        <w:t>, en virtud del Encargo (</w:t>
      </w:r>
      <w:r w:rsidRPr="001B701A">
        <w:rPr>
          <w:b/>
        </w:rPr>
        <w:t>Documento nº 5</w:t>
      </w:r>
      <w:r w:rsidRPr="001B701A">
        <w:t xml:space="preserve">), por la que la Agencia asumió frente al arrendatario las obligaciones de asesoramiento personalizado, acceso a cartera privada, acompañamiento en visitas, posicionamiento del perfil y negociación en su interés; y (iii) la </w:t>
      </w:r>
      <w:r w:rsidRPr="001B701A">
        <w:rPr>
          <w:i/>
        </w:rPr>
        <w:t>relación de arrendamiento entre propietario y actor</w:t>
      </w:r>
      <w:r w:rsidRPr="001B701A">
        <w:t>, en virtud del contrato de arrendamiento (</w:t>
      </w:r>
      <w:r w:rsidRPr="001B701A">
        <w:rPr>
          <w:b/>
        </w:rPr>
        <w:t>Documento nº 7</w:t>
      </w:r>
      <w:r w:rsidRPr="001B701A">
        <w:t>), en la que la Agencia no es parte.</w:t>
      </w:r>
    </w:p>
    <w:p w14:paraId="0089534D" w14:textId="77777777" w:rsidR="00E945B1" w:rsidRPr="001B701A" w:rsidRDefault="00000000" w:rsidP="00DC764E">
      <w:pPr>
        <w:numPr>
          <w:ilvl w:val="0"/>
          <w:numId w:val="10"/>
        </w:numPr>
        <w:spacing w:before="120" w:after="0" w:line="360" w:lineRule="auto"/>
        <w:ind w:left="0"/>
        <w:jc w:val="both"/>
      </w:pPr>
      <w:r w:rsidRPr="001B701A">
        <w:t>Las tres relaciones responden a sujetos, objetos y causas distintos, y producen sus efectos exclusivamente entre las partes que las otorgan, conforme al art. 1.257 CC. La Agencia no es parte del contrato de arrendamiento —único marco contractual sobre el que opera el art. 20.1 LAU— ni destinataria de las obligaciones que dicho precepto impone al arrendador.</w:t>
      </w:r>
    </w:p>
    <w:p w14:paraId="29036D6A" w14:textId="77777777" w:rsidR="0095558C" w:rsidRPr="001B701A" w:rsidRDefault="0095558C">
      <w:pPr>
        <w:spacing w:before="120" w:after="0" w:line="360" w:lineRule="auto"/>
        <w:jc w:val="both"/>
        <w:rPr>
          <w:b/>
          <w:bCs/>
          <w:i/>
        </w:rPr>
      </w:pPr>
    </w:p>
    <w:p w14:paraId="2F4D5BFC" w14:textId="4FFC9C42" w:rsidR="00E945B1" w:rsidRPr="001B701A" w:rsidRDefault="00000000">
      <w:pPr>
        <w:spacing w:before="120" w:after="0" w:line="360" w:lineRule="auto"/>
        <w:jc w:val="both"/>
        <w:rPr>
          <w:b/>
          <w:bCs/>
        </w:rPr>
      </w:pPr>
      <w:r w:rsidRPr="001B701A">
        <w:rPr>
          <w:b/>
          <w:bCs/>
          <w:i/>
        </w:rPr>
        <w:t>4.3. Soporte normativo y jurisprudencial.</w:t>
      </w:r>
    </w:p>
    <w:p w14:paraId="45CE9010" w14:textId="77777777" w:rsidR="00E945B1" w:rsidRPr="001B701A" w:rsidRDefault="00000000" w:rsidP="00DC764E">
      <w:pPr>
        <w:numPr>
          <w:ilvl w:val="0"/>
          <w:numId w:val="10"/>
        </w:numPr>
        <w:spacing w:before="120" w:after="0" w:line="360" w:lineRule="auto"/>
        <w:ind w:left="0"/>
        <w:jc w:val="both"/>
      </w:pPr>
      <w:r w:rsidRPr="001B701A">
        <w:t>El art. 20.1, último párrafo, LAU establece que «los gastos de gestión inmobiliaria y los de formalización del contrato serán a cargo del arrendador». El precepto identifica un único sujeto obligado —el arrendador— y acota con ello el perímetro subjetivo de la acción de reembolso que el arrendatario puede ejercitar en caso de repercusión indebida.</w:t>
      </w:r>
    </w:p>
    <w:p w14:paraId="2079A007" w14:textId="77777777" w:rsidR="00E945B1" w:rsidRPr="001B701A" w:rsidRDefault="00000000" w:rsidP="00DC764E">
      <w:pPr>
        <w:numPr>
          <w:ilvl w:val="0"/>
          <w:numId w:val="10"/>
        </w:numPr>
        <w:spacing w:before="120" w:after="0" w:line="360" w:lineRule="auto"/>
        <w:ind w:left="0"/>
        <w:jc w:val="both"/>
      </w:pPr>
      <w:r w:rsidRPr="001B701A">
        <w:t>El ámbito objetivo de la LAU confirma esa conclusión. Conforme al art. 1 LAU, la norma regula «el régimen jurídico aplicable a los arrendamientos de fincas urbanas que se destinen a vivienda o a usos distintos del de vivienda»; disciplina, por tanto, exclusivamente la relación arrendador-arrendatario, sin alcanzar a la actividad profesional de las agencias inmobiliarias ni a los contratos autónomos de mediación o corretaje. En idéntico sentido, el art. 1 de la Ley 12/2023 —en cuya disposición final primera, apartado cuatro, se ubica la modificación del art. 20.1 LAU aquí invocada— declara como objeto del cuerpo normativo el establecimiento de las condiciones básicas en materia de vivienda y la protección en las operaciones de compra y arrendamiento, sin extensión al régimen de retribución profesional del mediador inmobiliario.</w:t>
      </w:r>
    </w:p>
    <w:p w14:paraId="74FCDF0B" w14:textId="77777777" w:rsidR="00E945B1" w:rsidRPr="001B701A" w:rsidRDefault="00000000" w:rsidP="00DC764E">
      <w:pPr>
        <w:numPr>
          <w:ilvl w:val="0"/>
          <w:numId w:val="10"/>
        </w:numPr>
        <w:spacing w:before="120" w:after="0" w:line="360" w:lineRule="auto"/>
        <w:ind w:left="0"/>
        <w:jc w:val="both"/>
      </w:pPr>
      <w:r w:rsidRPr="001B701A">
        <w:t xml:space="preserve">La legitimación pasiva </w:t>
      </w:r>
      <w:r w:rsidRPr="001B701A">
        <w:rPr>
          <w:i/>
        </w:rPr>
        <w:t>ad causam</w:t>
      </w:r>
      <w:r w:rsidRPr="001B701A">
        <w:t>, presupuesto material del ejercicio de la acción, exige la coherencia entre la titularidad jurídica afirmada por el actor y las consecuencias jurídicas pretendidas. Así lo declara de modo consolidado la Sala Primera del Tribunal Supremo, por todas en la STS 305/2011, de 27 de junio (ECLI:ES:TS:2011:5089, ponente Excmo. Sr. Xiol Ríos), que define la figura en los siguientes términos:</w:t>
      </w:r>
    </w:p>
    <w:p w14:paraId="2405932C" w14:textId="77777777" w:rsidR="00E945B1" w:rsidRPr="001B701A" w:rsidRDefault="00000000">
      <w:pPr>
        <w:spacing w:before="120" w:after="120" w:line="360" w:lineRule="auto"/>
        <w:ind w:left="567"/>
        <w:jc w:val="both"/>
      </w:pPr>
      <w:r w:rsidRPr="001B701A">
        <w:rPr>
          <w:i/>
          <w:sz w:val="20"/>
        </w:rPr>
        <w:t xml:space="preserve">«[…] una posición o condición objetiva en conexión con la relación material objeto del pleito que determina una aptitud o idoneidad para ser parte procesal pasiva, en cuanto supone una coherencia o </w:t>
      </w:r>
      <w:r w:rsidRPr="001B701A">
        <w:rPr>
          <w:i/>
          <w:sz w:val="20"/>
        </w:rPr>
        <w:lastRenderedPageBreak/>
        <w:t>armonía entre la cualidad atribuida —titularidad jurídica afirmada— y las consecuencias jurídicas pretendidas.»</w:t>
      </w:r>
    </w:p>
    <w:p w14:paraId="04EBC14D" w14:textId="77777777" w:rsidR="00E945B1" w:rsidRPr="001B701A" w:rsidRDefault="00000000" w:rsidP="0095558C">
      <w:pPr>
        <w:numPr>
          <w:ilvl w:val="0"/>
          <w:numId w:val="10"/>
        </w:numPr>
        <w:spacing w:before="120" w:after="0" w:line="360" w:lineRule="auto"/>
        <w:ind w:left="0"/>
        <w:jc w:val="both"/>
      </w:pPr>
      <w:r w:rsidRPr="001B701A">
        <w:t>Esta doctrina ha sido aplicada de modo directo al supuesto de hecho aquí controvertido por la SJPI nº 29 de Valencia 157/2025, de 16 de junio, en caso sustancialmente idéntico al de autos en el que la Agencia figuraba también como demandada. El Juzgado declaró:</w:t>
      </w:r>
    </w:p>
    <w:p w14:paraId="636350EE" w14:textId="77777777" w:rsidR="00E945B1" w:rsidRPr="001B701A" w:rsidRDefault="00000000">
      <w:pPr>
        <w:spacing w:before="120" w:after="120" w:line="360" w:lineRule="auto"/>
        <w:ind w:left="567"/>
        <w:jc w:val="both"/>
      </w:pPr>
      <w:r w:rsidRPr="001B701A">
        <w:rPr>
          <w:i/>
          <w:sz w:val="20"/>
        </w:rPr>
        <w:t>«[…] la citada previsión del artículo 20.1 LAU debe entenderse referida únicamente a las relaciones internas entre arrendador y arrendatario, al enmarcarse precisamente en una ley que regula el régimen jurídico aplicable a los arrendamientos de fincas urbanas (artículo 1 LAU), y no a otros contratos, como el de la intermediación inmobiliaria […]. Y todo lo anterior permite excluir que la mercantil demandada tenga legitimación pasiva para la acción ejercitada, derivada de la responsabilidad por un supuesto incumplimiento de la forma de distribución de los gastos de gestión inmobiliaria relacionada del contrato de arrendamiento de vivienda, la cual correspondería, en su caso, al arrendador, de conformidad con el artículo 1257 del Código Civil al establecer que los contratos sólo producen efecto entre las partes que los otorgan […], de manera que el pretendido incumplimiento de lo establecido en el artículo 20.1 LAU no puede pretenderse de la mercantil demandada EV MMC SPAIN S.L.U.»</w:t>
      </w:r>
    </w:p>
    <w:p w14:paraId="7424AFDF"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11</w:t>
      </w:r>
      <w:r w:rsidRPr="001B701A">
        <w:t xml:space="preserve"> la SJPI nº 29 de Valencia 157/2025, de 16 de junio.</w:t>
      </w:r>
    </w:p>
    <w:p w14:paraId="3E7BF00E" w14:textId="77777777" w:rsidR="00E945B1" w:rsidRPr="001B701A" w:rsidRDefault="00000000" w:rsidP="00DC764E">
      <w:pPr>
        <w:numPr>
          <w:ilvl w:val="0"/>
          <w:numId w:val="10"/>
        </w:numPr>
        <w:spacing w:before="120" w:after="0" w:line="360" w:lineRule="auto"/>
        <w:ind w:left="0"/>
        <w:jc w:val="both"/>
      </w:pPr>
      <w:r w:rsidRPr="001B701A">
        <w:t>Aplicada esta doctrina al caso de autos, la conclusión es unívoca: la Agencia, ajena al contrato de arrendamiento y no destinataria de la obligación que el art. 20.1 LAU impone al arrendador, carece de la posición objetiva que la legitimaría como parte pasiva en la acción ejercitada. La eventual acción del arrendatario que considere indebidamente repercutidos los gastos del precepto debe dirigirse contra el arrendador —único obligado legal del reembolso—, no contra la Agencia.</w:t>
      </w:r>
    </w:p>
    <w:p w14:paraId="43F05377" w14:textId="77777777" w:rsidR="00E945B1" w:rsidRPr="001B701A" w:rsidRDefault="00000000" w:rsidP="00DC764E">
      <w:pPr>
        <w:numPr>
          <w:ilvl w:val="0"/>
          <w:numId w:val="10"/>
        </w:numPr>
        <w:spacing w:before="120" w:after="0" w:line="360" w:lineRule="auto"/>
        <w:ind w:left="0"/>
        <w:jc w:val="both"/>
      </w:pPr>
      <w:r w:rsidRPr="001B701A">
        <w:t xml:space="preserve">Procede estimar la excepción de falta de legitimación pasiva </w:t>
      </w:r>
      <w:r w:rsidRPr="001B701A">
        <w:rPr>
          <w:i/>
        </w:rPr>
        <w:t>ad causam</w:t>
      </w:r>
      <w:r w:rsidRPr="001B701A">
        <w:t xml:space="preserve"> de la Agencia y desestimar íntegramente la demanda frente a ella sin entrar a conocer del fondo, con imposición de costas a la actora.</w:t>
      </w:r>
    </w:p>
    <w:p w14:paraId="227ABA30" w14:textId="77777777" w:rsidR="001B701A" w:rsidRDefault="001B701A">
      <w:pPr>
        <w:spacing w:before="240" w:after="120" w:line="360" w:lineRule="auto"/>
        <w:jc w:val="both"/>
        <w:rPr>
          <w:b/>
        </w:rPr>
      </w:pPr>
    </w:p>
    <w:p w14:paraId="75BEC821" w14:textId="72397CEE" w:rsidR="00E945B1" w:rsidRPr="001B701A" w:rsidRDefault="00000000">
      <w:pPr>
        <w:spacing w:before="240" w:after="120" w:line="360" w:lineRule="auto"/>
        <w:jc w:val="both"/>
      </w:pPr>
      <w:r w:rsidRPr="001B701A">
        <w:rPr>
          <w:b/>
        </w:rPr>
        <w:t>QUINTO.- DISTINTA NATURALEZA JURÍDICA DE LOS SERVICIOS DE MEDIACIÓN INMOBILIARIA RESPECTO DEL ARTÍCULO 20.1 LAU.</w:t>
      </w:r>
    </w:p>
    <w:p w14:paraId="33109A44" w14:textId="77777777" w:rsidR="00E945B1" w:rsidRPr="001B701A" w:rsidRDefault="00000000">
      <w:pPr>
        <w:spacing w:before="120" w:after="0" w:line="360" w:lineRule="auto"/>
        <w:jc w:val="both"/>
        <w:rPr>
          <w:b/>
          <w:bCs/>
        </w:rPr>
      </w:pPr>
      <w:r w:rsidRPr="001B701A">
        <w:rPr>
          <w:b/>
          <w:bCs/>
          <w:i/>
        </w:rPr>
        <w:t>5.1. Tesis del motivo.</w:t>
      </w:r>
    </w:p>
    <w:p w14:paraId="1EFAFB58" w14:textId="77777777" w:rsidR="00E945B1" w:rsidRPr="001B701A" w:rsidRDefault="00000000" w:rsidP="00DC764E">
      <w:pPr>
        <w:numPr>
          <w:ilvl w:val="0"/>
          <w:numId w:val="10"/>
        </w:numPr>
        <w:spacing w:before="120" w:after="0" w:line="360" w:lineRule="auto"/>
        <w:ind w:left="0"/>
        <w:jc w:val="both"/>
      </w:pPr>
      <w:r w:rsidRPr="001B701A">
        <w:t xml:space="preserve">Si el Juzgador rechaza la excepción del Hecho anterior y entra al fondo, los servicios que la Agencia prestó al actor en virtud del Encargo son contrato de mediación o corretaje —mandato no representativo, atípico—, cuyos honorarios son jurídicamente distintos de los gastos de </w:t>
      </w:r>
      <w:r w:rsidRPr="001B701A">
        <w:lastRenderedPageBreak/>
        <w:t>gestión inmobiliaria y formalización del contrato a que se refiere el art. 20.1 LAU. La pretensión principal de la actora resulta, por tanto, infundada.</w:t>
      </w:r>
    </w:p>
    <w:p w14:paraId="0AAC462E" w14:textId="77777777" w:rsidR="0095558C" w:rsidRPr="001B701A" w:rsidRDefault="0095558C">
      <w:pPr>
        <w:spacing w:before="120" w:after="0" w:line="360" w:lineRule="auto"/>
        <w:jc w:val="both"/>
        <w:rPr>
          <w:b/>
          <w:bCs/>
          <w:i/>
        </w:rPr>
      </w:pPr>
    </w:p>
    <w:p w14:paraId="1D89343D" w14:textId="2F7DDDA1" w:rsidR="00E945B1" w:rsidRPr="001B701A" w:rsidRDefault="00000000">
      <w:pPr>
        <w:spacing w:before="120" w:after="0" w:line="360" w:lineRule="auto"/>
        <w:jc w:val="both"/>
        <w:rPr>
          <w:b/>
          <w:bCs/>
        </w:rPr>
      </w:pPr>
      <w:r w:rsidRPr="001B701A">
        <w:rPr>
          <w:b/>
          <w:bCs/>
          <w:i/>
        </w:rPr>
        <w:t>5.2. Soporte fáctico.</w:t>
      </w:r>
    </w:p>
    <w:p w14:paraId="33A5D6C3" w14:textId="0D81274A" w:rsidR="00E945B1" w:rsidRPr="001B701A" w:rsidRDefault="00000000" w:rsidP="001B701A">
      <w:pPr>
        <w:numPr>
          <w:ilvl w:val="0"/>
          <w:numId w:val="10"/>
        </w:numPr>
        <w:spacing w:before="120" w:after="0" w:line="360" w:lineRule="auto"/>
        <w:ind w:left="0"/>
        <w:jc w:val="both"/>
      </w:pPr>
      <w:r w:rsidRPr="001B701A">
        <w:t xml:space="preserve">Sobre la operación articulada por la Agencia confluyen dos relaciones contractuales autónomas y onerosas, con sujetos, causa y objeto propios: (a) el encargo de arrendamiento con el propietario (Documento nº 1), por el que la Agencia se obliga frente a éste a la valoración del Inmueble, su captación profesional, el reportaje fotográfico, la elaboración del exposé, la publicación en los portales y canales propios y la formalización del contrato de arrendamiento —servicios que, por su contenido obligacional y terminología, encajan en el concepto de «gastos de gestión inmobiliaria y de formalización del contrato» del art. 20.1 LAU—; y (b) el Encargo con el actor (Documento nº 5), por el que la Agencia se obliga frente al arrendatario a prestar servicios de asesoramiento personalizado, acceso a cartera privada, información específica del Inmueble, acompañamiento en visitas, posicionamiento del perfil ante el propietario con informe profesional, negociación </w:t>
      </w:r>
      <w:r w:rsidR="0095558C" w:rsidRPr="001B701A">
        <w:t>de las condiciones del contrato de arrendamiento</w:t>
      </w:r>
      <w:r w:rsidRPr="001B701A">
        <w:t>, asistencia en la firma e interlocución posterior —servicios que, por su contenido obligacional y terminología, integran el contrato de mediación, prestados por cuenta y en interés del actor, individualizables y no subsumibles en el concepto del art. 20.1 LAU—.</w:t>
      </w:r>
    </w:p>
    <w:p w14:paraId="7C2CBF11" w14:textId="77777777" w:rsidR="00E945B1" w:rsidRPr="001B701A" w:rsidRDefault="00000000" w:rsidP="00DC764E">
      <w:pPr>
        <w:numPr>
          <w:ilvl w:val="0"/>
          <w:numId w:val="10"/>
        </w:numPr>
        <w:spacing w:before="120" w:after="0" w:line="360" w:lineRule="auto"/>
        <w:ind w:left="0"/>
        <w:jc w:val="both"/>
      </w:pPr>
      <w:r w:rsidRPr="001B701A">
        <w:t>La distinción queda confirmada documentalmente con la facturación: la Agencia emitió al propietario factura por «servicios de gestión inmobiliaria y formalización de contrato» (Documento nº 9) y emitió al actor factura por «asesoría personalizada al Cliente de la búsqueda de una propiedad para alquilar» (Documento nº 8), con identidad terminológica respecto de la cláusula 1 del Encargo —ya transcrita supra en el Hecho Segundo—. Cada retribución tiene su propio destinatario, su propia causa y su propia base contractual.</w:t>
      </w:r>
    </w:p>
    <w:p w14:paraId="5BAAF346" w14:textId="77777777" w:rsidR="00E945B1" w:rsidRPr="001B701A" w:rsidRDefault="00000000">
      <w:pPr>
        <w:spacing w:before="120" w:after="0" w:line="360" w:lineRule="auto"/>
        <w:jc w:val="center"/>
        <w:rPr>
          <w:highlight w:val="yellow"/>
        </w:rPr>
      </w:pPr>
      <w:r w:rsidRPr="001B701A">
        <w:rPr>
          <w:b/>
          <w:highlight w:val="yellow"/>
        </w:rPr>
        <w:t>═══════════════════════════════════════════════════════</w:t>
      </w:r>
    </w:p>
    <w:p w14:paraId="4843A743" w14:textId="77777777" w:rsidR="00E945B1" w:rsidRPr="001B701A" w:rsidRDefault="00000000">
      <w:pPr>
        <w:spacing w:after="0" w:line="360" w:lineRule="auto"/>
        <w:jc w:val="center"/>
        <w:rPr>
          <w:highlight w:val="yellow"/>
        </w:rPr>
      </w:pPr>
      <w:r w:rsidRPr="001B701A">
        <w:rPr>
          <w:b/>
          <w:i/>
          <w:highlight w:val="yellow"/>
        </w:rPr>
        <w:t>[VARIANTE — únicamente si la Agencia no facturó al propietario en el caso concreto. Sustituir el párrafo anterior por el siguiente y suprimir el Doc. nº 9 y los §§ correspondientes del Hecho Primero, así como sus remisiones.]</w:t>
      </w:r>
    </w:p>
    <w:p w14:paraId="66747F38" w14:textId="77777777" w:rsidR="00E945B1" w:rsidRPr="001B701A" w:rsidRDefault="00000000">
      <w:pPr>
        <w:spacing w:after="120" w:line="360" w:lineRule="auto"/>
        <w:jc w:val="center"/>
      </w:pPr>
      <w:r w:rsidRPr="001B701A">
        <w:rPr>
          <w:b/>
          <w:highlight w:val="yellow"/>
        </w:rPr>
        <w:t>═══════════════════════════════════════════════════════</w:t>
      </w:r>
    </w:p>
    <w:p w14:paraId="1E4164EE" w14:textId="77777777" w:rsidR="00E945B1" w:rsidRPr="001B701A" w:rsidRDefault="00000000" w:rsidP="0095558C">
      <w:pPr>
        <w:numPr>
          <w:ilvl w:val="0"/>
          <w:numId w:val="10"/>
        </w:numPr>
        <w:spacing w:before="120" w:after="0" w:line="360" w:lineRule="auto"/>
        <w:ind w:left="0"/>
        <w:jc w:val="both"/>
        <w:rPr>
          <w:highlight w:val="yellow"/>
        </w:rPr>
      </w:pPr>
      <w:r w:rsidRPr="001B701A">
        <w:rPr>
          <w:highlight w:val="yellow"/>
        </w:rPr>
        <w:lastRenderedPageBreak/>
        <w:t>La Agencia ha optado, por razones estrictamente comerciales —captación de producto, fidelización de propietarios, consolidación de cartera—, por absorber con cargo a su estructura empresarial el coste de los servicios prestados al propietario, sin facturarlos. Decisión comercial legítima al amparo de la libertad de empresa del art. 38 CE, que no altera la calificación jurídica del Encargo ni la causa onerosa autónoma de los honorarios percibidos del actor: si no hay coste a distribuir entre arrendador y arrendatario, el art. 20.1 LAU simplemente no se activa, y los honorarios del actor retribuyen servicios distintos —los del Encargo— con causa propia (arts. 1.274 y 1.275 CC), independiente de la facturación al propietario.</w:t>
      </w:r>
    </w:p>
    <w:p w14:paraId="4DC9D347" w14:textId="77777777" w:rsidR="00E945B1" w:rsidRPr="001B701A" w:rsidRDefault="00000000">
      <w:pPr>
        <w:spacing w:before="120" w:after="0" w:line="360" w:lineRule="auto"/>
        <w:jc w:val="center"/>
        <w:rPr>
          <w:highlight w:val="yellow"/>
        </w:rPr>
      </w:pPr>
      <w:r w:rsidRPr="001B701A">
        <w:rPr>
          <w:b/>
          <w:highlight w:val="yellow"/>
        </w:rPr>
        <w:t>═══════════════════════════════════════════════════════</w:t>
      </w:r>
    </w:p>
    <w:p w14:paraId="52BB3C4F" w14:textId="77777777" w:rsidR="00E945B1" w:rsidRPr="001B701A" w:rsidRDefault="00000000">
      <w:pPr>
        <w:spacing w:after="0" w:line="360" w:lineRule="auto"/>
        <w:jc w:val="center"/>
        <w:rPr>
          <w:highlight w:val="yellow"/>
        </w:rPr>
      </w:pPr>
      <w:r w:rsidRPr="001B701A">
        <w:rPr>
          <w:b/>
          <w:i/>
          <w:highlight w:val="yellow"/>
        </w:rPr>
        <w:t>[FIN VARIANTE]</w:t>
      </w:r>
    </w:p>
    <w:p w14:paraId="740583A7" w14:textId="77777777" w:rsidR="00E945B1" w:rsidRPr="001B701A" w:rsidRDefault="00000000">
      <w:pPr>
        <w:spacing w:after="120" w:line="360" w:lineRule="auto"/>
        <w:jc w:val="center"/>
      </w:pPr>
      <w:r w:rsidRPr="001B701A">
        <w:rPr>
          <w:b/>
          <w:highlight w:val="yellow"/>
        </w:rPr>
        <w:t>═══════════════════════════════════════════════════════</w:t>
      </w:r>
    </w:p>
    <w:p w14:paraId="12989F86" w14:textId="77777777" w:rsidR="00E945B1" w:rsidRPr="001B701A" w:rsidRDefault="00000000" w:rsidP="0095558C">
      <w:pPr>
        <w:numPr>
          <w:ilvl w:val="0"/>
          <w:numId w:val="10"/>
        </w:numPr>
        <w:spacing w:before="120" w:after="0" w:line="360" w:lineRule="auto"/>
        <w:ind w:left="0"/>
        <w:jc w:val="both"/>
      </w:pPr>
      <w:r w:rsidRPr="001B701A">
        <w:t>La oferta de arrendamiento (</w:t>
      </w:r>
      <w:r w:rsidRPr="001B701A">
        <w:rPr>
          <w:b/>
        </w:rPr>
        <w:t>Documento nº 6</w:t>
      </w:r>
      <w:r w:rsidRPr="001B701A">
        <w:t xml:space="preserve">, transcrita </w:t>
      </w:r>
      <w:r w:rsidRPr="001B701A">
        <w:rPr>
          <w:i/>
        </w:rPr>
        <w:t>supra</w:t>
      </w:r>
      <w:r w:rsidRPr="001B701A">
        <w:t xml:space="preserve"> en el Hecho Segundo) refrenda la distinción por escrito: identifica los gastos de intermediación y formalización como conceptos a cargo del propietario y diferencia los honorarios de mediación que el actor satisface a la Agencia. El propio actor firmó y aceptó esa distinción.</w:t>
      </w:r>
    </w:p>
    <w:p w14:paraId="5C4B23A0" w14:textId="77777777" w:rsidR="0095558C" w:rsidRPr="001B701A" w:rsidRDefault="0095558C">
      <w:pPr>
        <w:spacing w:before="120" w:after="0" w:line="360" w:lineRule="auto"/>
        <w:jc w:val="both"/>
        <w:rPr>
          <w:b/>
          <w:bCs/>
          <w:i/>
        </w:rPr>
      </w:pPr>
    </w:p>
    <w:p w14:paraId="3AA71D6E" w14:textId="638E11BB" w:rsidR="00E945B1" w:rsidRPr="001B701A" w:rsidRDefault="00000000">
      <w:pPr>
        <w:spacing w:before="120" w:after="0" w:line="360" w:lineRule="auto"/>
        <w:jc w:val="both"/>
        <w:rPr>
          <w:b/>
          <w:bCs/>
        </w:rPr>
      </w:pPr>
      <w:r w:rsidRPr="001B701A">
        <w:rPr>
          <w:b/>
          <w:bCs/>
          <w:i/>
        </w:rPr>
        <w:t>5.3. Soporte normativo y jurisprudencial: tres pilares interpretativos convergentes.</w:t>
      </w:r>
    </w:p>
    <w:p w14:paraId="3820D74F" w14:textId="77777777" w:rsidR="00E945B1" w:rsidRPr="001B701A" w:rsidRDefault="00000000" w:rsidP="00DC764E">
      <w:pPr>
        <w:numPr>
          <w:ilvl w:val="0"/>
          <w:numId w:val="10"/>
        </w:numPr>
        <w:spacing w:before="120" w:after="0" w:line="360" w:lineRule="auto"/>
        <w:ind w:left="0"/>
        <w:jc w:val="both"/>
      </w:pPr>
      <w:r w:rsidRPr="001B701A">
        <w:t>La conclusión anterior se apoya en tres pilares hermenéuticos —literal-semántico, jurisprudencial y sistemático— que convergen en una misma lectura del art. 20.1 LAU.</w:t>
      </w:r>
    </w:p>
    <w:p w14:paraId="5A8B7A05" w14:textId="77777777" w:rsidR="0095558C" w:rsidRPr="001B701A" w:rsidRDefault="0095558C">
      <w:pPr>
        <w:spacing w:before="120" w:after="0" w:line="360" w:lineRule="auto"/>
        <w:jc w:val="both"/>
        <w:rPr>
          <w:b/>
          <w:bCs/>
          <w:i/>
        </w:rPr>
      </w:pPr>
    </w:p>
    <w:p w14:paraId="5EF0BD13" w14:textId="55E558C6" w:rsidR="00E945B1" w:rsidRPr="001B701A" w:rsidRDefault="00000000">
      <w:pPr>
        <w:spacing w:before="120" w:after="0" w:line="360" w:lineRule="auto"/>
        <w:jc w:val="both"/>
        <w:rPr>
          <w:b/>
          <w:bCs/>
        </w:rPr>
      </w:pPr>
      <w:r w:rsidRPr="001B701A">
        <w:rPr>
          <w:b/>
          <w:bCs/>
          <w:i/>
        </w:rPr>
        <w:t>5.3.1. Interpretación literal y semántica.</w:t>
      </w:r>
    </w:p>
    <w:p w14:paraId="549277C3" w14:textId="77777777" w:rsidR="00E945B1" w:rsidRPr="001B701A" w:rsidRDefault="00000000" w:rsidP="00DC764E">
      <w:pPr>
        <w:numPr>
          <w:ilvl w:val="0"/>
          <w:numId w:val="10"/>
        </w:numPr>
        <w:spacing w:before="120" w:after="0" w:line="360" w:lineRule="auto"/>
        <w:ind w:left="0"/>
        <w:jc w:val="both"/>
      </w:pPr>
      <w:r w:rsidRPr="001B701A">
        <w:t xml:space="preserve">El art. 3.1 CC ordena interpretar las normas «según el sentido propio de sus palabras». El Diccionario de la Real Academia Española define «gestión» como «acción y efecto de administrar», y «administrar» como «ordenar, disponer, organizar, en especial la hacienda o los bienes». La gestión inmobiliaria, en su sentido literal, implica un mandato representativo: actuar en nombre y por cuenta del titular del bien, con facultades de administración o disposición —función propia del administrador de fincas—. La intermediación inmobiliaria o corretaje, por el contrario, descansa sobre un mandato no representativo: el mediador no actúa en nombre del comitente ni celebra contrato alguno en su representación, sino que aproxima a las partes y </w:t>
      </w:r>
      <w:r w:rsidRPr="001B701A">
        <w:lastRenderedPageBreak/>
        <w:t>facilita la perfección del contrato pretendido. Distinto alcance del mandato, distinto contenido obligacional, distinto efecto. Su asimilación —que la actora postula— contradice el sentido literal del art. 20.1 LAU y las categorías jurídicas del propio ordenamiento.</w:t>
      </w:r>
    </w:p>
    <w:p w14:paraId="70FD5F8F" w14:textId="77777777" w:rsidR="0095558C" w:rsidRPr="001B701A" w:rsidRDefault="0095558C">
      <w:pPr>
        <w:spacing w:before="120" w:after="0" w:line="360" w:lineRule="auto"/>
        <w:jc w:val="both"/>
        <w:rPr>
          <w:b/>
          <w:bCs/>
          <w:i/>
        </w:rPr>
      </w:pPr>
    </w:p>
    <w:p w14:paraId="12096955" w14:textId="63DEAF71" w:rsidR="00E945B1" w:rsidRPr="001B701A" w:rsidRDefault="00000000">
      <w:pPr>
        <w:spacing w:before="120" w:after="0" w:line="360" w:lineRule="auto"/>
        <w:jc w:val="both"/>
        <w:rPr>
          <w:b/>
          <w:bCs/>
        </w:rPr>
      </w:pPr>
      <w:r w:rsidRPr="001B701A">
        <w:rPr>
          <w:b/>
          <w:bCs/>
          <w:i/>
        </w:rPr>
        <w:t>5.3.2. Interpretación jurisprudencial: el contrato de mediación o corretaje como categoría autónoma.</w:t>
      </w:r>
    </w:p>
    <w:p w14:paraId="0E1A8E2A" w14:textId="77777777" w:rsidR="00E945B1" w:rsidRPr="001B701A" w:rsidRDefault="00000000" w:rsidP="00DC764E">
      <w:pPr>
        <w:numPr>
          <w:ilvl w:val="0"/>
          <w:numId w:val="10"/>
        </w:numPr>
        <w:spacing w:before="120" w:after="0" w:line="360" w:lineRule="auto"/>
        <w:ind w:left="0"/>
        <w:jc w:val="both"/>
      </w:pPr>
      <w:r w:rsidRPr="001B701A">
        <w:t>La Sala Primera del Tribunal Supremo ha definido con claridad la naturaleza y régimen del contrato de mediación o corretaje, diferenciándolo de cualquier otra figura de gestión. La STS de 19 de noviembre de 2012 (Sala Primera, Sección 1.ª) declara:</w:t>
      </w:r>
    </w:p>
    <w:p w14:paraId="2BCCA226" w14:textId="77777777" w:rsidR="00E945B1" w:rsidRPr="001B701A" w:rsidRDefault="00000000">
      <w:pPr>
        <w:spacing w:before="120" w:after="120" w:line="360" w:lineRule="auto"/>
        <w:ind w:left="567"/>
        <w:jc w:val="both"/>
      </w:pPr>
      <w:r w:rsidRPr="001B701A">
        <w:rPr>
          <w:i/>
          <w:sz w:val="20"/>
        </w:rPr>
        <w:t>«[El] contrato de mediación se integra en los contratos de colaboración y gestión de intereses ajenos, cuya esencia reside en la prestación de servicios encaminados a la búsqueda, localización y aproximación de futuros contratantes, sin intervenir en el contrato ni actuar propiamente como mandatario. Constituye un contrato atípico, consensual, bilateral y aleatorio, puesto que su resultado es incierto, y se rige por las estipulaciones de las partes que no sean contrarias a la ley, a la moral o al orden público y, en lo no previsto, por los preceptos correspondientes a figuras afines, como el mandato, el arrendamiento de servicios o la comisión mercantil.»</w:t>
      </w:r>
    </w:p>
    <w:p w14:paraId="64754AD1" w14:textId="77777777" w:rsidR="00E945B1" w:rsidRPr="001B701A" w:rsidRDefault="00000000" w:rsidP="00DC764E">
      <w:pPr>
        <w:numPr>
          <w:ilvl w:val="0"/>
          <w:numId w:val="10"/>
        </w:numPr>
        <w:spacing w:before="120" w:after="0" w:line="360" w:lineRule="auto"/>
        <w:ind w:left="0"/>
        <w:jc w:val="both"/>
      </w:pPr>
      <w:r w:rsidRPr="001B701A">
        <w:t>En idéntico sentido se ha pronunciado la Sala Primera en la STS de 30 de abril de 1998 y en las SSTS 738/2011, de 13 de octubre, y 878/2011, de 25 de noviembre, que configuran al contrato de mediación como figura atípica y autónoma, regida por la autonomía de la voluntad del art. 1.255 CC y por los preceptos correspondientes a figuras afines, sin asimilación posible con la gestión inmobiliaria propia de la administración de fincas.</w:t>
      </w:r>
    </w:p>
    <w:p w14:paraId="02C42AEA" w14:textId="77777777" w:rsidR="00E945B1" w:rsidRPr="001B701A" w:rsidRDefault="00000000" w:rsidP="00DC764E">
      <w:pPr>
        <w:numPr>
          <w:ilvl w:val="0"/>
          <w:numId w:val="10"/>
        </w:numPr>
        <w:spacing w:before="120" w:after="0" w:line="360" w:lineRule="auto"/>
        <w:ind w:left="0"/>
        <w:jc w:val="both"/>
      </w:pPr>
      <w:r w:rsidRPr="001B701A">
        <w:t>Esta doctrina ha sido aplicada al supuesto de hecho aquí controvertido por la SJPI nº 46 de Madrid 559/2025, de 10 de diciembre, en caso sustancialmente idéntico al de autos en el que la Agencia figuraba también como demandada:</w:t>
      </w:r>
    </w:p>
    <w:p w14:paraId="3AAF1791" w14:textId="77777777" w:rsidR="00E945B1" w:rsidRPr="001B701A" w:rsidRDefault="00000000">
      <w:pPr>
        <w:spacing w:before="120" w:after="120" w:line="360" w:lineRule="auto"/>
        <w:ind w:left="567"/>
        <w:jc w:val="both"/>
      </w:pPr>
      <w:r w:rsidRPr="001B701A">
        <w:rPr>
          <w:i/>
          <w:sz w:val="20"/>
        </w:rPr>
        <w:t>«[…] una cosa es el servicio prestado por gestión y formalización que se cobran al arrendador y otro servicio de intermediación que se presta a los arrendatarios […]. Son dos conceptos diversos que no pueden llevar a la demandante a alegar que se cobra dos veces por lo mismo.»</w:t>
      </w:r>
    </w:p>
    <w:p w14:paraId="6A27F73C" w14:textId="77777777" w:rsidR="00E945B1" w:rsidRPr="001B701A" w:rsidRDefault="00000000" w:rsidP="00DC764E">
      <w:pPr>
        <w:numPr>
          <w:ilvl w:val="0"/>
          <w:numId w:val="10"/>
        </w:numPr>
        <w:spacing w:before="120" w:after="0" w:line="360" w:lineRule="auto"/>
        <w:ind w:left="0"/>
        <w:jc w:val="both"/>
      </w:pPr>
      <w:r w:rsidRPr="001B701A">
        <w:t xml:space="preserve">Se acompaña como </w:t>
      </w:r>
      <w:r w:rsidRPr="001B701A">
        <w:rPr>
          <w:b/>
          <w:u w:val="single"/>
        </w:rPr>
        <w:t>DOCUMENTO Nº 12</w:t>
      </w:r>
      <w:r w:rsidRPr="001B701A">
        <w:t xml:space="preserve"> la SJPI nº 46 de Madrid 559/2025, de 10 de diciembre.</w:t>
      </w:r>
    </w:p>
    <w:p w14:paraId="6FEAD2F1" w14:textId="77777777" w:rsidR="0095558C" w:rsidRPr="001B701A" w:rsidRDefault="0095558C">
      <w:pPr>
        <w:spacing w:before="120" w:after="0" w:line="360" w:lineRule="auto"/>
        <w:jc w:val="both"/>
        <w:rPr>
          <w:b/>
          <w:bCs/>
          <w:i/>
        </w:rPr>
      </w:pPr>
    </w:p>
    <w:p w14:paraId="1A44964F" w14:textId="346DB5F9" w:rsidR="00E945B1" w:rsidRPr="001B701A" w:rsidRDefault="00000000">
      <w:pPr>
        <w:spacing w:before="120" w:after="0" w:line="360" w:lineRule="auto"/>
        <w:jc w:val="both"/>
        <w:rPr>
          <w:b/>
          <w:bCs/>
        </w:rPr>
      </w:pPr>
      <w:r w:rsidRPr="001B701A">
        <w:rPr>
          <w:b/>
          <w:bCs/>
          <w:i/>
        </w:rPr>
        <w:t>5.3.3. Interpretación sistemática: la Ley 12/2023 reguló la actividad profesional del agente inmobiliario en su Título IV.</w:t>
      </w:r>
    </w:p>
    <w:p w14:paraId="5447228C" w14:textId="77777777" w:rsidR="00E945B1" w:rsidRPr="001B701A" w:rsidRDefault="00000000" w:rsidP="00DC764E">
      <w:pPr>
        <w:numPr>
          <w:ilvl w:val="0"/>
          <w:numId w:val="10"/>
        </w:numPr>
        <w:spacing w:before="120" w:after="0" w:line="360" w:lineRule="auto"/>
        <w:ind w:left="0"/>
        <w:jc w:val="both"/>
      </w:pPr>
      <w:r w:rsidRPr="001B701A">
        <w:lastRenderedPageBreak/>
        <w:t>La interpretación sistemática del art. 20.1 LAU confirma la lectura anterior. La Ley 12/2023 —en cuya disposición final primera, apartado cuatro, se inserta la modificación del art. 20.1 LAU que la actora invoca— dedica su Título IV «De las operaciones de compraventa y arrendamiento» a regular de modo específico la actividad profesional de los agentes inmobiliarios. En particular, los arts. 30 y siguientes imponen a éstos deberes de información clara y veraz y obligaciones de publicidad y de responsabilidad por incumplimiento.</w:t>
      </w:r>
    </w:p>
    <w:p w14:paraId="48054A7F" w14:textId="77777777" w:rsidR="00E945B1" w:rsidRPr="001B701A" w:rsidRDefault="00000000" w:rsidP="00DC764E">
      <w:pPr>
        <w:numPr>
          <w:ilvl w:val="0"/>
          <w:numId w:val="10"/>
        </w:numPr>
        <w:spacing w:before="120" w:after="0" w:line="360" w:lineRule="auto"/>
        <w:ind w:left="0"/>
        <w:jc w:val="both"/>
      </w:pPr>
      <w:r w:rsidRPr="001B701A">
        <w:t>El legislador regula, pues, de modo expreso y sustantivo el estatuto profesional del agente inmobiliario; y, sin embargo, optó por no incluir en ese cauce —el sistemáticamente idóneo— prohibición alguna sobre la retribución que las agencias pueden percibir de sus clientes, sea arrendador o arrendatario. La modificación del art. 20.1 LAU se ubica, por el contrario, en una disposición final que reforma la LAU, cuerpo normativo que regula —conforme a su propio art. 1— el régimen del arrendamiento y la distribución interna de gastos entre arrendador y arrendatario.</w:t>
      </w:r>
    </w:p>
    <w:p w14:paraId="0E07CAB9" w14:textId="77777777" w:rsidR="00E945B1" w:rsidRPr="001B701A" w:rsidRDefault="00000000" w:rsidP="00DC764E">
      <w:pPr>
        <w:numPr>
          <w:ilvl w:val="0"/>
          <w:numId w:val="10"/>
        </w:numPr>
        <w:spacing w:before="120" w:after="0" w:line="360" w:lineRule="auto"/>
        <w:ind w:left="0"/>
        <w:jc w:val="both"/>
      </w:pPr>
      <w:r w:rsidRPr="001B701A">
        <w:t>La ubicación sistemática del precepto —canon hermenéutico expresamente reconocido por el art. 3.1 CC— revela la voluntad inequívoca del legislador: el art. 20.1 LAU regula la relación arrendaticia, no la retribución profesional del mediador. Cualquier interpretación extensiva que pretendiera trasladar a los honorarios de mediación una prohibición que el legislador ha optado por no incluir en la norma sectorial idónea contradiría la estructura de la propia Ley de Vivienda y quedaría proscrita por el principio de interpretación restrictiva de las normas limitativas de derechos.</w:t>
      </w:r>
    </w:p>
    <w:p w14:paraId="73E43852" w14:textId="3E76EBA8" w:rsidR="00E945B1" w:rsidRPr="001B701A" w:rsidRDefault="00A97065" w:rsidP="00DC764E">
      <w:pPr>
        <w:numPr>
          <w:ilvl w:val="0"/>
          <w:numId w:val="10"/>
        </w:numPr>
        <w:spacing w:before="120" w:after="0" w:line="360" w:lineRule="auto"/>
        <w:ind w:left="0"/>
        <w:jc w:val="both"/>
      </w:pPr>
      <w:r w:rsidRPr="001B701A">
        <w:t>Por ello, p</w:t>
      </w:r>
      <w:r w:rsidR="00000000" w:rsidRPr="001B701A">
        <w:t>rocede desestimar íntegramente la pretensión principal de la actora, fundada en el art. 20.1 LAU, al no resultar dicho precepto aplicable a los honorarios de mediación que la Agencia percibió del actor en virtud del Encargo, con imposición de costas a la actora.</w:t>
      </w:r>
    </w:p>
    <w:p w14:paraId="155191BC" w14:textId="77777777" w:rsidR="00E945B1" w:rsidRPr="001B701A" w:rsidRDefault="00000000">
      <w:pPr>
        <w:spacing w:before="120" w:after="0" w:line="360" w:lineRule="auto"/>
        <w:jc w:val="center"/>
        <w:rPr>
          <w:highlight w:val="yellow"/>
        </w:rPr>
      </w:pPr>
      <w:r w:rsidRPr="001B701A">
        <w:rPr>
          <w:b/>
          <w:highlight w:val="yellow"/>
        </w:rPr>
        <w:t>═══════════════════════════════════════════════════════</w:t>
      </w:r>
    </w:p>
    <w:p w14:paraId="75509B28" w14:textId="77777777" w:rsidR="00E945B1" w:rsidRPr="001B701A" w:rsidRDefault="00000000">
      <w:pPr>
        <w:spacing w:after="0" w:line="360" w:lineRule="auto"/>
        <w:jc w:val="center"/>
        <w:rPr>
          <w:highlight w:val="yellow"/>
        </w:rPr>
      </w:pPr>
      <w:r w:rsidRPr="001B701A">
        <w:rPr>
          <w:b/>
          <w:i/>
          <w:highlight w:val="yellow"/>
        </w:rPr>
        <w:t>[HECHO SEXTO — TERRITORIO DE APLICACIÓN: CATALUÑA. ELIMINAR ÍNTEGRO EN PROCEDIMIENTOS SUSTANCIADOS FUERA DE CATALUÑA Y RENUMERAR LOS SIGUIENTES: SÉPTIMO → SEXTO; OCTAVO → SÉPTIMO; NOVENO → OCTAVO; DÉCIMO → NOVENO.]</w:t>
      </w:r>
    </w:p>
    <w:p w14:paraId="305D40C6" w14:textId="77777777" w:rsidR="00E945B1" w:rsidRPr="001B701A" w:rsidRDefault="00000000">
      <w:pPr>
        <w:spacing w:after="120" w:line="360" w:lineRule="auto"/>
        <w:jc w:val="center"/>
      </w:pPr>
      <w:r w:rsidRPr="001B701A">
        <w:rPr>
          <w:b/>
          <w:highlight w:val="yellow"/>
        </w:rPr>
        <w:t>═══════════════════════════════════════════════════════</w:t>
      </w:r>
    </w:p>
    <w:p w14:paraId="048AAD7F" w14:textId="77777777" w:rsidR="00E945B1" w:rsidRPr="001B701A" w:rsidRDefault="00000000">
      <w:pPr>
        <w:spacing w:before="240" w:after="120" w:line="360" w:lineRule="auto"/>
        <w:jc w:val="both"/>
        <w:rPr>
          <w:highlight w:val="yellow"/>
        </w:rPr>
      </w:pPr>
      <w:r w:rsidRPr="001B701A">
        <w:rPr>
          <w:b/>
          <w:highlight w:val="yellow"/>
        </w:rPr>
        <w:lastRenderedPageBreak/>
        <w:t>SEXTO.- LICITUD DE LA DOBLE RETRIBUCIÓN DEL AGENTE INMOBILIARIO AL AMPARO DEL ARTÍCULO 55.6.i) DE LA LEY 18/2007, DE 28 DE DICIEMBRE, DEL DERECHO A LA VIVIENDA DE CATALUÑA.</w:t>
      </w:r>
    </w:p>
    <w:p w14:paraId="572E9224" w14:textId="77777777" w:rsidR="00E945B1" w:rsidRPr="001B701A" w:rsidRDefault="00000000">
      <w:pPr>
        <w:spacing w:before="120" w:after="0" w:line="360" w:lineRule="auto"/>
        <w:jc w:val="both"/>
        <w:rPr>
          <w:b/>
          <w:bCs/>
          <w:highlight w:val="yellow"/>
        </w:rPr>
      </w:pPr>
      <w:r w:rsidRPr="001B701A">
        <w:rPr>
          <w:b/>
          <w:bCs/>
          <w:i/>
          <w:highlight w:val="yellow"/>
        </w:rPr>
        <w:t>6.1. Tesis del motivo.</w:t>
      </w:r>
    </w:p>
    <w:p w14:paraId="30A940FA"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 xml:space="preserve">En procedimientos sustanciados ante los órganos judiciales catalanes resulta de aplicación específica el art. 55.6.i) de la Ley 18/2007, de 28 de diciembre, del derecho a la vivienda de Cataluña, norma autonómica que regula la profesión del agente inmobiliario y que, en su lectura </w:t>
      </w:r>
      <w:r w:rsidRPr="001B701A">
        <w:rPr>
          <w:i/>
          <w:highlight w:val="yellow"/>
        </w:rPr>
        <w:t>a sensu contrario</w:t>
      </w:r>
      <w:r w:rsidRPr="001B701A">
        <w:rPr>
          <w:highlight w:val="yellow"/>
        </w:rPr>
        <w:t>, autoriza expresamente la doble retribución del agente cuando concurre acuerdo expreso de las partes intervinientes en la transacción. Ese acuerdo expreso concurre, doblemente documentado, en el caso de autos.</w:t>
      </w:r>
    </w:p>
    <w:p w14:paraId="1A354983" w14:textId="77777777" w:rsidR="0095558C" w:rsidRPr="001B701A" w:rsidRDefault="0095558C">
      <w:pPr>
        <w:spacing w:before="120" w:after="0" w:line="360" w:lineRule="auto"/>
        <w:jc w:val="both"/>
        <w:rPr>
          <w:b/>
          <w:bCs/>
          <w:i/>
          <w:highlight w:val="yellow"/>
        </w:rPr>
      </w:pPr>
    </w:p>
    <w:p w14:paraId="682E7EC0" w14:textId="10EE1F59" w:rsidR="00E945B1" w:rsidRPr="001B701A" w:rsidRDefault="00000000">
      <w:pPr>
        <w:spacing w:before="120" w:after="0" w:line="360" w:lineRule="auto"/>
        <w:jc w:val="both"/>
        <w:rPr>
          <w:b/>
          <w:bCs/>
          <w:highlight w:val="yellow"/>
        </w:rPr>
      </w:pPr>
      <w:r w:rsidRPr="001B701A">
        <w:rPr>
          <w:b/>
          <w:bCs/>
          <w:i/>
          <w:highlight w:val="yellow"/>
        </w:rPr>
        <w:t>6.2. Soporte fáctico.</w:t>
      </w:r>
    </w:p>
    <w:p w14:paraId="5AC173F9"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El acuerdo expreso de las dos partes está articulado por escrito a cada uno de los dos lados de la operación. (a) En el encargo de arrendamiento suscrito con el propietario (Documento nº 1), cuya cláusula 5 —dedicada a los honorarios— enumera expresamente las dos retribuciones que percibirá la Agencia, diferenciando la parte a cargo de la propiedad y la parte a cargo del arrendatario:</w:t>
      </w:r>
    </w:p>
    <w:p w14:paraId="4A8B0AB2" w14:textId="77777777" w:rsidR="00E945B1" w:rsidRPr="001B701A" w:rsidRDefault="00000000">
      <w:pPr>
        <w:spacing w:before="120" w:after="120" w:line="360" w:lineRule="auto"/>
        <w:ind w:left="567"/>
        <w:jc w:val="both"/>
        <w:rPr>
          <w:highlight w:val="yellow"/>
        </w:rPr>
      </w:pPr>
      <w:r w:rsidRPr="001B701A">
        <w:rPr>
          <w:i/>
          <w:sz w:val="20"/>
          <w:highlight w:val="yellow"/>
        </w:rPr>
        <w:t>«Honoraris: Si l'Immoble és arrendat a un arrendatari aportat per l'Agència, aquesta percebrà, pels seus serveis d'intermediació, els següents honoraris: Per part de la Propietat: [import fix o percentatge] més IVA. Per part de l'Arrendatari: [percentatge] de la renda anual més IVA.»</w:t>
      </w:r>
    </w:p>
    <w:p w14:paraId="53263670"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La cláusula acredita que el propietario conoció y aceptó expresamente que la Agencia percibiría retribución también del arrendatario. (b) En el Encargo suscrito por el actor (Documento nº 5), cuya cláusula 1 —ya transcrita supra en el Hecho Segundo— informa al arrendatario de que los servicios contratados no coinciden con los gastos de gestión inmobiliaria y formalización del contrato imputables al propietario, e identifica los servicios efectivamente prestados al actor como asesoría personalizada en la búsqueda y acompañamiento.</w:t>
      </w:r>
    </w:p>
    <w:p w14:paraId="7C03567A"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La cláusula acredita que el arrendatario conoció y aceptó expresamente que la Agencia le cobraría honorarios por servicios distintos de los gastos del art. 20.1 LAU.</w:t>
      </w:r>
    </w:p>
    <w:p w14:paraId="271986D3"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Ambas partes intervinientes en la transacción prestaron, así, su acuerdo expreso a la dualidad de retribución, cada una debidamente informada por escrito de la retribución correspondiente a la contraparte.</w:t>
      </w:r>
    </w:p>
    <w:p w14:paraId="603AA5B6" w14:textId="77777777" w:rsidR="0095558C" w:rsidRPr="001B701A" w:rsidRDefault="0095558C">
      <w:pPr>
        <w:spacing w:before="120" w:after="0" w:line="360" w:lineRule="auto"/>
        <w:jc w:val="both"/>
        <w:rPr>
          <w:b/>
          <w:bCs/>
          <w:i/>
          <w:highlight w:val="yellow"/>
        </w:rPr>
      </w:pPr>
    </w:p>
    <w:p w14:paraId="195613E9" w14:textId="478F519C" w:rsidR="00E945B1" w:rsidRPr="001B701A" w:rsidRDefault="00000000">
      <w:pPr>
        <w:spacing w:before="120" w:after="0" w:line="360" w:lineRule="auto"/>
        <w:jc w:val="both"/>
        <w:rPr>
          <w:b/>
          <w:bCs/>
          <w:highlight w:val="yellow"/>
        </w:rPr>
      </w:pPr>
      <w:r w:rsidRPr="001B701A">
        <w:rPr>
          <w:b/>
          <w:bCs/>
          <w:i/>
          <w:highlight w:val="yellow"/>
        </w:rPr>
        <w:t>6.3. Soporte normativo y jurisprudencial.</w:t>
      </w:r>
    </w:p>
    <w:p w14:paraId="1646A185"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El art. 55.6.i) de la Ley 18/2007, dictado al amparo de la competencia que el art. 121 del Estatuto de Autonomía de Cataluña atribuye a la Generalitat en materia de profesiones inmobiliarias, dispone:</w:t>
      </w:r>
    </w:p>
    <w:p w14:paraId="2EAF36EC" w14:textId="77777777" w:rsidR="00E945B1" w:rsidRPr="001B701A" w:rsidRDefault="00000000">
      <w:pPr>
        <w:spacing w:before="120" w:after="120" w:line="360" w:lineRule="auto"/>
        <w:ind w:left="567"/>
        <w:jc w:val="both"/>
        <w:rPr>
          <w:highlight w:val="yellow"/>
        </w:rPr>
      </w:pPr>
      <w:r w:rsidRPr="001B701A">
        <w:rPr>
          <w:i/>
          <w:sz w:val="20"/>
          <w:highlight w:val="yellow"/>
        </w:rPr>
        <w:t>«i) La retribución del agente y la forma de pago. La retribución del agente debe consistir en un porcentaje del precio o en un importe fijo y en ningún caso puede percibirse retribución de las dos partes que intervienen en la transacción por la misma operación, salvo que haya un acuerdo expreso en dicho sentido.»</w:t>
      </w:r>
    </w:p>
    <w:p w14:paraId="12DAB9C7"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 xml:space="preserve">La estructura lógica del precepto es la de una prohibición general con excepción expresa: la regla proscribe la doble retribución; la excepción —literal y terminante— la permite cuando existe acuerdo expreso. En interpretación </w:t>
      </w:r>
      <w:r w:rsidRPr="001B701A">
        <w:rPr>
          <w:i/>
          <w:highlight w:val="yellow"/>
        </w:rPr>
        <w:t>a sensu contrario</w:t>
      </w:r>
      <w:r w:rsidRPr="001B701A">
        <w:rPr>
          <w:highlight w:val="yellow"/>
        </w:rPr>
        <w:t>, concurriendo dicho acuerdo, la doble retribución del agente inmobiliario es plenamente lícita en el ordenamiento autonómico catalán, que es —por razón de la especialidad material de la norma y de la competencia autonómica que la sustenta— el cuerpo jurídico que regula específicamente la actividad del agente inmobiliario en Cataluña.</w:t>
      </w:r>
    </w:p>
    <w:p w14:paraId="6C15CA0D" w14:textId="77777777" w:rsidR="00E945B1" w:rsidRPr="001B701A" w:rsidRDefault="00000000" w:rsidP="00DC764E">
      <w:pPr>
        <w:numPr>
          <w:ilvl w:val="0"/>
          <w:numId w:val="10"/>
        </w:numPr>
        <w:spacing w:before="120" w:after="0" w:line="360" w:lineRule="auto"/>
        <w:ind w:left="0"/>
        <w:jc w:val="both"/>
        <w:rPr>
          <w:highlight w:val="yellow"/>
        </w:rPr>
      </w:pPr>
      <w:r w:rsidRPr="001B701A">
        <w:rPr>
          <w:highlight w:val="yellow"/>
        </w:rPr>
        <w:t>Trasladada la norma al caso de autos, la conclusión es inequívoca: el acuerdo expreso, doblemente documentado, sitúa la doble retribución dentro de la excepción que el propio precepto autoriza. No hay, por tanto, irregularidad alguna en la percepción por la Agencia de retribución por cuenta de ambas partes; está expresamente permitida por la norma sectorial aplicable y materialmente amparada por el acuerdo escrito de propietario y arrendatario.</w:t>
      </w:r>
    </w:p>
    <w:p w14:paraId="4FDF0465" w14:textId="4BEF1783" w:rsidR="00E945B1" w:rsidRPr="001B701A" w:rsidRDefault="00A97065" w:rsidP="00DC764E">
      <w:pPr>
        <w:numPr>
          <w:ilvl w:val="0"/>
          <w:numId w:val="10"/>
        </w:numPr>
        <w:spacing w:before="120" w:after="0" w:line="360" w:lineRule="auto"/>
        <w:ind w:left="0"/>
        <w:jc w:val="both"/>
        <w:rPr>
          <w:highlight w:val="yellow"/>
        </w:rPr>
      </w:pPr>
      <w:r w:rsidRPr="001B701A">
        <w:rPr>
          <w:highlight w:val="yellow"/>
        </w:rPr>
        <w:t>Por lo que p</w:t>
      </w:r>
      <w:r w:rsidR="00000000" w:rsidRPr="001B701A">
        <w:rPr>
          <w:highlight w:val="yellow"/>
        </w:rPr>
        <w:t>rocede desestimar íntegramente la pretensión actora también sobre la base de la habilitación normativa específica del Derecho autonómico catalán, cumplida en el caso de autos en sus presupuestos formales y materiales, con imposición de costas a la actora.</w:t>
      </w:r>
    </w:p>
    <w:p w14:paraId="39B8728E" w14:textId="77777777" w:rsidR="00E945B1" w:rsidRPr="001B701A" w:rsidRDefault="00000000">
      <w:pPr>
        <w:spacing w:before="120" w:after="0" w:line="360" w:lineRule="auto"/>
        <w:jc w:val="center"/>
        <w:rPr>
          <w:highlight w:val="yellow"/>
        </w:rPr>
      </w:pPr>
      <w:r w:rsidRPr="001B701A">
        <w:rPr>
          <w:b/>
          <w:highlight w:val="yellow"/>
        </w:rPr>
        <w:t>═══════════════════════════════════════════════════════</w:t>
      </w:r>
    </w:p>
    <w:p w14:paraId="740F7F95" w14:textId="77777777" w:rsidR="00E945B1" w:rsidRPr="001B701A" w:rsidRDefault="00000000">
      <w:pPr>
        <w:spacing w:after="0" w:line="360" w:lineRule="auto"/>
        <w:jc w:val="center"/>
        <w:rPr>
          <w:highlight w:val="yellow"/>
        </w:rPr>
      </w:pPr>
      <w:r w:rsidRPr="001B701A">
        <w:rPr>
          <w:b/>
          <w:i/>
          <w:highlight w:val="yellow"/>
        </w:rPr>
        <w:t>[FIN HECHO SEXTO. ELIMINAR HASTA AQUÍ INCLUSIVE EN PROCEDIMIENTOS SUSTANCIADOS FUERA DE CATALUÑA.]</w:t>
      </w:r>
    </w:p>
    <w:p w14:paraId="119E7AB5" w14:textId="77777777" w:rsidR="00E945B1" w:rsidRPr="001B701A" w:rsidRDefault="00000000">
      <w:pPr>
        <w:spacing w:after="120" w:line="360" w:lineRule="auto"/>
        <w:jc w:val="center"/>
      </w:pPr>
      <w:r w:rsidRPr="001B701A">
        <w:rPr>
          <w:b/>
          <w:highlight w:val="yellow"/>
        </w:rPr>
        <w:t>═══════════════════════════════════════════════════════</w:t>
      </w:r>
    </w:p>
    <w:p w14:paraId="07D623BC" w14:textId="77777777" w:rsidR="00E945B1" w:rsidRPr="001B701A" w:rsidRDefault="00000000">
      <w:pPr>
        <w:spacing w:before="240" w:after="120" w:line="360" w:lineRule="auto"/>
        <w:jc w:val="both"/>
      </w:pPr>
      <w:r w:rsidRPr="001B701A">
        <w:rPr>
          <w:b/>
        </w:rPr>
        <w:lastRenderedPageBreak/>
        <w:t>SÉPTIMO.- SUBSIDIARIAMENTE: VULNERACIÓN DEL DERECHO FUNDAMENTAL A LA LIBERTAD DE EMPRESA (ART. 38 CE). SOLICITUD DE PLANTEAMIENTO DE CUESTIÓN DE INCONSTITUCIONALIDAD.</w:t>
      </w:r>
    </w:p>
    <w:p w14:paraId="3D259CB1" w14:textId="77777777" w:rsidR="00E945B1" w:rsidRPr="001B701A" w:rsidRDefault="00000000">
      <w:pPr>
        <w:spacing w:before="120" w:after="0" w:line="360" w:lineRule="auto"/>
        <w:jc w:val="both"/>
        <w:rPr>
          <w:b/>
          <w:bCs/>
        </w:rPr>
      </w:pPr>
      <w:r w:rsidRPr="001B701A">
        <w:rPr>
          <w:b/>
          <w:bCs/>
          <w:i/>
        </w:rPr>
        <w:t>7.1. Tesis del motivo.</w:t>
      </w:r>
    </w:p>
    <w:p w14:paraId="66F91162" w14:textId="77777777" w:rsidR="00E945B1" w:rsidRPr="001B701A" w:rsidRDefault="00000000" w:rsidP="00DC764E">
      <w:pPr>
        <w:numPr>
          <w:ilvl w:val="0"/>
          <w:numId w:val="10"/>
        </w:numPr>
        <w:spacing w:before="120" w:after="0" w:line="360" w:lineRule="auto"/>
        <w:ind w:left="0"/>
        <w:jc w:val="both"/>
      </w:pPr>
      <w:r w:rsidRPr="001B701A">
        <w:t xml:space="preserve">Subsidiariamente, si el Juzgador rechaza los Hechos Cuarto a Sexto y acoge la interpretación extensiva del art. 20.1, último párrafo, LAU que postula la actora, esa interpretación vulnera el derecho fundamental a la libertad de empresa del art. 38 CE. Procede, en consecuencia, el planteamiento de cuestión de inconstitucionalidad </w:t>
      </w:r>
      <w:r w:rsidRPr="001B701A">
        <w:rPr>
          <w:i/>
        </w:rPr>
        <w:t>ex</w:t>
      </w:r>
      <w:r w:rsidRPr="001B701A">
        <w:t xml:space="preserve"> art. 35 LOTC.</w:t>
      </w:r>
    </w:p>
    <w:p w14:paraId="73DD0EEE" w14:textId="77777777" w:rsidR="002C2F50" w:rsidRDefault="002C2F50">
      <w:pPr>
        <w:spacing w:before="120" w:after="0" w:line="360" w:lineRule="auto"/>
        <w:jc w:val="both"/>
        <w:rPr>
          <w:b/>
          <w:bCs/>
          <w:i/>
        </w:rPr>
      </w:pPr>
    </w:p>
    <w:p w14:paraId="7C1CC9B2" w14:textId="75B31FEF" w:rsidR="00E945B1" w:rsidRPr="001B701A" w:rsidRDefault="00000000">
      <w:pPr>
        <w:spacing w:before="120" w:after="0" w:line="360" w:lineRule="auto"/>
        <w:jc w:val="both"/>
        <w:rPr>
          <w:b/>
          <w:bCs/>
        </w:rPr>
      </w:pPr>
      <w:r w:rsidRPr="001B701A">
        <w:rPr>
          <w:b/>
          <w:bCs/>
          <w:i/>
        </w:rPr>
        <w:t>7.2. Soporte fáctico.</w:t>
      </w:r>
    </w:p>
    <w:p w14:paraId="77729D7C" w14:textId="77777777" w:rsidR="00E945B1" w:rsidRPr="001B701A" w:rsidRDefault="00000000" w:rsidP="00DC764E">
      <w:pPr>
        <w:numPr>
          <w:ilvl w:val="0"/>
          <w:numId w:val="10"/>
        </w:numPr>
        <w:spacing w:before="120" w:after="0" w:line="360" w:lineRule="auto"/>
        <w:ind w:left="0"/>
        <w:jc w:val="both"/>
      </w:pPr>
      <w:r w:rsidRPr="001B701A">
        <w:t>La situación de hecho directamente afectada por el juicio de constitucionalidad es la descrita en los Hechos Primero a Tercero: la Agencia prestó al actor servicios profesionales individualizados —asesoramiento personalizado, acceso a cartera privada, acompañamiento en visitas, posicionamiento de perfil, negociación en su exclusivo interés—, libremente contratados en el Encargo, retribuidos por causa onerosa propia y debidamente facturados. La interpretación extensiva del art. 20.1 LAU que la actora postula privaría retroactivamente de causa onerosa esos servicios, imponiendo a la Agencia su prestación sin contraprestación.</w:t>
      </w:r>
    </w:p>
    <w:p w14:paraId="4FBA30C0" w14:textId="77777777" w:rsidR="002C2F50" w:rsidRDefault="002C2F50">
      <w:pPr>
        <w:spacing w:before="120" w:after="0" w:line="360" w:lineRule="auto"/>
        <w:jc w:val="both"/>
        <w:rPr>
          <w:b/>
          <w:bCs/>
          <w:i/>
        </w:rPr>
      </w:pPr>
    </w:p>
    <w:p w14:paraId="03108693" w14:textId="0292AB17" w:rsidR="00E945B1" w:rsidRPr="001B701A" w:rsidRDefault="00000000">
      <w:pPr>
        <w:spacing w:before="120" w:after="0" w:line="360" w:lineRule="auto"/>
        <w:jc w:val="both"/>
        <w:rPr>
          <w:b/>
          <w:bCs/>
        </w:rPr>
      </w:pPr>
      <w:r w:rsidRPr="001B701A">
        <w:rPr>
          <w:b/>
          <w:bCs/>
          <w:i/>
        </w:rPr>
        <w:t>7.3. Soporte normativo.</w:t>
      </w:r>
    </w:p>
    <w:p w14:paraId="2C0777DE" w14:textId="77777777" w:rsidR="00E945B1" w:rsidRPr="001B701A" w:rsidRDefault="00000000" w:rsidP="00DC764E">
      <w:pPr>
        <w:numPr>
          <w:ilvl w:val="0"/>
          <w:numId w:val="10"/>
        </w:numPr>
        <w:spacing w:before="120" w:after="0" w:line="360" w:lineRule="auto"/>
        <w:ind w:left="0"/>
        <w:jc w:val="both"/>
      </w:pPr>
      <w:r w:rsidRPr="001B701A">
        <w:t>El art. 38 CE reconoce la libertad de empresa en el marco de la economía de mercado; el art. 53.1 CE ordena que sólo por ley que respete su contenido esencial pueda regularse el ejercicio de los derechos y libertades del Capítulo II del Título I. El Tribunal Constitucional ha configurado la libertad de empresa como el derecho a iniciar y sostener libremente la actividad empresarial (STC 83/1984, de 24 de julio) y como libertad de actuación y de elección por la empresa de su propio mercado (STC 96/2002, de 25 de abril, FJ 11).</w:t>
      </w:r>
    </w:p>
    <w:p w14:paraId="358E378C" w14:textId="77777777" w:rsidR="00E945B1" w:rsidRPr="001B701A" w:rsidRDefault="00000000" w:rsidP="00DC764E">
      <w:pPr>
        <w:numPr>
          <w:ilvl w:val="0"/>
          <w:numId w:val="10"/>
        </w:numPr>
        <w:spacing w:before="120" w:after="0" w:line="360" w:lineRule="auto"/>
        <w:ind w:left="0"/>
        <w:jc w:val="both"/>
      </w:pPr>
      <w:r w:rsidRPr="001B701A">
        <w:t xml:space="preserve">La interpretación extensiva del art. 20.1 LAU que postula la actora, al imponer a la Agencia la prestación de servicios profesionales sin contraprestación en favor del cliente arrendatario que libremente los encargó, vaciaría el contenido esencial del derecho a la libertad de empresa en su proyección sobre la actividad profesional de las agencias inmobiliarias, obligándolas a asumir gratuitamente parte sustancial de su actividad. Contraviene, además, los arts. 1.261, </w:t>
      </w:r>
      <w:r w:rsidRPr="001B701A">
        <w:lastRenderedPageBreak/>
        <w:t>1.274 y 1.275 CC, que exigen causa onerosa para la validez del contrato remuneratorio y convertirían el Encargo suscrito por el actor en un contrato sin causa.</w:t>
      </w:r>
    </w:p>
    <w:p w14:paraId="2BF5D3AC" w14:textId="77777777" w:rsidR="00E945B1" w:rsidRPr="001B701A" w:rsidRDefault="00000000" w:rsidP="00DC764E">
      <w:pPr>
        <w:numPr>
          <w:ilvl w:val="0"/>
          <w:numId w:val="10"/>
        </w:numPr>
        <w:spacing w:before="120" w:after="0" w:line="360" w:lineRule="auto"/>
        <w:ind w:left="0"/>
        <w:jc w:val="both"/>
      </w:pPr>
      <w:r w:rsidRPr="001B701A">
        <w:t xml:space="preserve">Concurren, en consecuencia, los tres presupuestos que el art. 35.1 LOTC exige para el planteamiento de la cuestión de inconstitucionalidad: (i) </w:t>
      </w:r>
      <w:r w:rsidRPr="001B701A">
        <w:rPr>
          <w:i/>
        </w:rPr>
        <w:t>juicio de aplicabilidad</w:t>
      </w:r>
      <w:r w:rsidRPr="001B701A">
        <w:t xml:space="preserve">, el art. 20.1, último párrafo, LAU, en la interpretación extensiva postulada por la actora, sería la norma con rango de ley directamente aplicable al caso, en cuanto sobre ella descansa la pretensión principal de nulidad y restitución de los honorarios; (ii) </w:t>
      </w:r>
      <w:r w:rsidRPr="001B701A">
        <w:rPr>
          <w:i/>
        </w:rPr>
        <w:t>juicio de relevancia</w:t>
      </w:r>
      <w:r w:rsidRPr="001B701A">
        <w:t xml:space="preserve">, el fallo del presente procedimiento depende directamente de la validez constitucional del precepto en la interpretación controvertida, pues rechazadas las defensas precedentes y acogida dicha interpretación, la estimación o desestimación de la demanda pasaría necesariamente por el juicio sobre su conformidad con el art. 38 CE; y (iii) </w:t>
      </w:r>
      <w:r w:rsidRPr="001B701A">
        <w:rPr>
          <w:i/>
        </w:rPr>
        <w:t>duda de constitucionalidad razonada</w:t>
      </w:r>
      <w:r w:rsidRPr="001B701A">
        <w:t>, la norma cuestionada —art. 20.1, último párrafo, LAU, en la interpretación extensiva que la actora postula— es susceptible de infringir el art. 38 CE, en relación con el art. 53.1 CE, al imponer a las agencias inmobiliarias la prestación gratuita de servicios profesionales y vaciar con ello el contenido esencial del derecho a la libertad de empresa.</w:t>
      </w:r>
    </w:p>
    <w:p w14:paraId="1E4CB3A0" w14:textId="5812EBF9" w:rsidR="00E945B1" w:rsidRPr="001B701A" w:rsidRDefault="00A97065" w:rsidP="00DC764E">
      <w:pPr>
        <w:numPr>
          <w:ilvl w:val="0"/>
          <w:numId w:val="10"/>
        </w:numPr>
        <w:spacing w:before="120" w:after="0" w:line="360" w:lineRule="auto"/>
        <w:ind w:left="0"/>
        <w:jc w:val="both"/>
      </w:pPr>
      <w:r w:rsidRPr="001B701A">
        <w:t xml:space="preserve">Por lo que, </w:t>
      </w:r>
      <w:r w:rsidR="00000000" w:rsidRPr="001B701A">
        <w:t xml:space="preserve">si </w:t>
      </w:r>
      <w:r w:rsidRPr="001B701A">
        <w:t xml:space="preserve">el Juzgador </w:t>
      </w:r>
      <w:r w:rsidR="00000000" w:rsidRPr="001B701A">
        <w:t xml:space="preserve">rechaza los </w:t>
      </w:r>
      <w:r w:rsidRPr="001B701A">
        <w:t xml:space="preserve">motivos de oposición </w:t>
      </w:r>
      <w:r w:rsidR="00000000" w:rsidRPr="001B701A">
        <w:t>precedentes</w:t>
      </w:r>
      <w:r w:rsidRPr="001B701A">
        <w:t xml:space="preserve"> y entiende que el articulo 20.1 LAU es de aplicación a la relación contractual entre la Agencia y el actor</w:t>
      </w:r>
      <w:r w:rsidR="00000000" w:rsidRPr="001B701A">
        <w:t xml:space="preserve">, </w:t>
      </w:r>
      <w:r w:rsidRPr="001B701A">
        <w:t xml:space="preserve">esta parte promueve el planteamiento de la cuestión de inconstitucionalidad de este artículo. Motivo por el que desde este momento esta parte solicita que el Juzgador, </w:t>
      </w:r>
      <w:r w:rsidR="00000000" w:rsidRPr="001B701A">
        <w:t>antes de dictar sentencia y al amparo del art. 35.2 LOTC, acuerde la audiencia común e improrrogable de diez días a las partes y al Ministerio Fiscal a los efectos del planteamiento de la cuestión de inconstitucionalidad del art. 20.1, último párrafo, LAU, en la interpretación extensiva controvertida, ante el Tribunal Constitucional.</w:t>
      </w:r>
    </w:p>
    <w:p w14:paraId="41940DD8" w14:textId="77777777" w:rsidR="00A97065" w:rsidRPr="001B701A" w:rsidRDefault="00A97065">
      <w:pPr>
        <w:spacing w:before="240" w:after="120" w:line="360" w:lineRule="auto"/>
        <w:jc w:val="both"/>
        <w:rPr>
          <w:b/>
        </w:rPr>
      </w:pPr>
    </w:p>
    <w:p w14:paraId="7F93BCD7" w14:textId="4DD1CB18" w:rsidR="00E945B1" w:rsidRPr="001B701A" w:rsidRDefault="00000000">
      <w:pPr>
        <w:spacing w:before="240" w:after="120" w:line="360" w:lineRule="auto"/>
        <w:jc w:val="both"/>
      </w:pPr>
      <w:r w:rsidRPr="001B701A">
        <w:rPr>
          <w:b/>
        </w:rPr>
        <w:t>OCTAVO.- SUBSIDIARIAMENTE: LOS SERVICIOS PRESTADOS AL ACTOR EXCEDEN, EN CUALQUIER CASO, EL PERÍMETRO OBJETIVO DEL ARTÍCULO 20.1 LAU.</w:t>
      </w:r>
    </w:p>
    <w:p w14:paraId="61C07B64" w14:textId="77777777" w:rsidR="00E945B1" w:rsidRPr="001B701A" w:rsidRDefault="00000000">
      <w:pPr>
        <w:spacing w:before="120" w:after="0" w:line="360" w:lineRule="auto"/>
        <w:jc w:val="both"/>
        <w:rPr>
          <w:b/>
          <w:bCs/>
        </w:rPr>
      </w:pPr>
      <w:r w:rsidRPr="001B701A">
        <w:rPr>
          <w:b/>
          <w:bCs/>
          <w:i/>
        </w:rPr>
        <w:t>8.1. Tesis del motivo.</w:t>
      </w:r>
    </w:p>
    <w:p w14:paraId="304A8BC3" w14:textId="1CB74EEA" w:rsidR="00E945B1" w:rsidRPr="001B701A" w:rsidRDefault="00000000" w:rsidP="00DC764E">
      <w:pPr>
        <w:numPr>
          <w:ilvl w:val="0"/>
          <w:numId w:val="10"/>
        </w:numPr>
        <w:spacing w:before="120" w:after="0" w:line="360" w:lineRule="auto"/>
        <w:ind w:left="0"/>
        <w:jc w:val="both"/>
      </w:pPr>
      <w:r w:rsidRPr="001B701A">
        <w:t xml:space="preserve">Subsidiariamente, para el caso </w:t>
      </w:r>
      <w:r w:rsidR="00A97065" w:rsidRPr="001B701A">
        <w:t xml:space="preserve">improbable </w:t>
      </w:r>
      <w:r w:rsidRPr="001B701A">
        <w:t xml:space="preserve">de que el Juzgador rechace los Hechos precedentes y entienda que alguna actividad desarrollada por la Agencia queda subsumida en el ámbito del art. 20.1 LAU, los servicios que la Agencia prestó al actor en virtud del Encargo exceden en su </w:t>
      </w:r>
      <w:r w:rsidRPr="001B701A">
        <w:lastRenderedPageBreak/>
        <w:t>objeto, causa y destinatario del concepto de «gastos de gestión inmobiliaria» y de «formalización del contrato» del precepto invocado.</w:t>
      </w:r>
    </w:p>
    <w:p w14:paraId="4FA1F745" w14:textId="77777777" w:rsidR="00A97065" w:rsidRPr="001B701A" w:rsidRDefault="00A97065">
      <w:pPr>
        <w:spacing w:before="120" w:after="0" w:line="360" w:lineRule="auto"/>
        <w:jc w:val="both"/>
        <w:rPr>
          <w:b/>
          <w:bCs/>
          <w:i/>
        </w:rPr>
      </w:pPr>
    </w:p>
    <w:p w14:paraId="36E088EA" w14:textId="0F306BBD" w:rsidR="00E945B1" w:rsidRPr="001B701A" w:rsidRDefault="00000000">
      <w:pPr>
        <w:spacing w:before="120" w:after="0" w:line="360" w:lineRule="auto"/>
        <w:jc w:val="both"/>
        <w:rPr>
          <w:b/>
          <w:bCs/>
        </w:rPr>
      </w:pPr>
      <w:r w:rsidRPr="001B701A">
        <w:rPr>
          <w:b/>
          <w:bCs/>
          <w:i/>
        </w:rPr>
        <w:t>8.2. Soporte fáctico.</w:t>
      </w:r>
    </w:p>
    <w:p w14:paraId="5EF14103" w14:textId="77777777" w:rsidR="00E945B1" w:rsidRPr="001B701A" w:rsidRDefault="00000000" w:rsidP="00DC764E">
      <w:pPr>
        <w:numPr>
          <w:ilvl w:val="0"/>
          <w:numId w:val="10"/>
        </w:numPr>
        <w:spacing w:before="120" w:after="0" w:line="360" w:lineRule="auto"/>
        <w:ind w:left="0"/>
        <w:jc w:val="both"/>
      </w:pPr>
      <w:r w:rsidRPr="001B701A">
        <w:t>Los servicios efectivamente prestados al actor —ya descritos en el Hecho Segundo y desglosados en el Hecho Quinto sobre la base de la cláusula 1 del Encargo (Documento nº 5)— son, en su naturaleza, servicios de asesoría y mediación prestados por cuenta y en interés exclusivo del arrendatario, con destinatario, objeto y causa propios e individualizados respecto de los servicios prestados al propietario.</w:t>
      </w:r>
    </w:p>
    <w:p w14:paraId="165CC086" w14:textId="77777777" w:rsidR="00A97065" w:rsidRPr="001B701A" w:rsidRDefault="00A97065">
      <w:pPr>
        <w:spacing w:before="120" w:after="0" w:line="360" w:lineRule="auto"/>
        <w:jc w:val="both"/>
        <w:rPr>
          <w:b/>
          <w:bCs/>
          <w:i/>
        </w:rPr>
      </w:pPr>
    </w:p>
    <w:p w14:paraId="6857FF48" w14:textId="24554134" w:rsidR="00E945B1" w:rsidRPr="001B701A" w:rsidRDefault="00000000">
      <w:pPr>
        <w:spacing w:before="120" w:after="0" w:line="360" w:lineRule="auto"/>
        <w:jc w:val="both"/>
        <w:rPr>
          <w:b/>
          <w:bCs/>
        </w:rPr>
      </w:pPr>
      <w:r w:rsidRPr="001B701A">
        <w:rPr>
          <w:b/>
          <w:bCs/>
          <w:i/>
        </w:rPr>
        <w:t>8.3. Soporte normativo</w:t>
      </w:r>
      <w:r w:rsidR="002C2F50">
        <w:rPr>
          <w:b/>
          <w:bCs/>
          <w:i/>
        </w:rPr>
        <w:t xml:space="preserve"> y jurisprudencial</w:t>
      </w:r>
      <w:r w:rsidRPr="001B701A">
        <w:rPr>
          <w:b/>
          <w:bCs/>
          <w:i/>
        </w:rPr>
        <w:t>.</w:t>
      </w:r>
    </w:p>
    <w:p w14:paraId="12E95C47" w14:textId="77777777" w:rsidR="00E945B1" w:rsidRPr="001B701A" w:rsidRDefault="00000000" w:rsidP="00DC764E">
      <w:pPr>
        <w:numPr>
          <w:ilvl w:val="0"/>
          <w:numId w:val="10"/>
        </w:numPr>
        <w:spacing w:before="120" w:after="0" w:line="360" w:lineRule="auto"/>
        <w:ind w:left="0"/>
        <w:jc w:val="both"/>
      </w:pPr>
      <w:r w:rsidRPr="001B701A">
        <w:t>El art. 20.1, último párrafo, LAU acota su perímetro objetivo a los «gastos de gestión inmobiliaria» y a los «de formalización del contrato», conceptos cuya delimitación —ya razonada en el Hecho Quinto— excluye la asesoría personalizada al cliente buscador. Los servicios del Encargo no pueden subsumirse en aquel perímetro: difieren en el destinatario —arrendatario, no arrendador—, en el objeto —asesoría y mediación en interés del cliente buscador, no gestión administrativa por cuenta del titular del bien— y en la causa —contraprestación autónoma libremente convenida, no repercusión de costes de tramitación—.</w:t>
      </w:r>
    </w:p>
    <w:p w14:paraId="1D85D195" w14:textId="4B5C431F" w:rsidR="00E945B1" w:rsidRDefault="00000000" w:rsidP="00DC764E">
      <w:pPr>
        <w:numPr>
          <w:ilvl w:val="0"/>
          <w:numId w:val="10"/>
        </w:numPr>
        <w:spacing w:before="120" w:after="0" w:line="360" w:lineRule="auto"/>
        <w:ind w:left="0"/>
        <w:jc w:val="both"/>
      </w:pPr>
      <w:r w:rsidRPr="001B701A">
        <w:t xml:space="preserve">Esos servicios responden a causa onerosa propia y lícita en los términos de los arts. 1.274 y 1.275 CC: el actor ha recibido un servicio efectivamente prestado y lo ha retribuido por libre convenio. Aun en la hipótesis combatida en los </w:t>
      </w:r>
      <w:r w:rsidR="001B701A">
        <w:t>h</w:t>
      </w:r>
      <w:r w:rsidRPr="001B701A">
        <w:t>echos precedentes —que alguno de los conceptos del art. 20.1 LAU pudiera proyectarse sobre la relación entre la Agencia y el arrendatario—, la pretensión actora de restitución no podría alcanzar a los honorarios que retribuyen los servicios que exceden de aquel perímetro.</w:t>
      </w:r>
    </w:p>
    <w:p w14:paraId="1814D1A8" w14:textId="77777777" w:rsidR="002C2F50" w:rsidRPr="001B701A" w:rsidRDefault="002C2F50" w:rsidP="002C2F50">
      <w:pPr>
        <w:numPr>
          <w:ilvl w:val="0"/>
          <w:numId w:val="10"/>
        </w:numPr>
        <w:spacing w:before="120" w:after="0" w:line="360" w:lineRule="auto"/>
        <w:ind w:left="0"/>
        <w:jc w:val="both"/>
      </w:pPr>
      <w:r w:rsidRPr="001B701A">
        <w:t>Esta doctrina ha sido aplicada al supuesto de hecho aquí controvertido por la SJPI nº 46 de Madrid 559/2025, de 10 de diciembre, en caso sustancialmente idéntico al de autos en el que la Agencia figuraba también como demandada:</w:t>
      </w:r>
    </w:p>
    <w:p w14:paraId="75B3B572" w14:textId="245D681A" w:rsidR="002C2F50" w:rsidRPr="002C2F50" w:rsidRDefault="002C2F50" w:rsidP="002C2F50">
      <w:pPr>
        <w:spacing w:before="120" w:after="120" w:line="360" w:lineRule="auto"/>
        <w:ind w:left="567"/>
        <w:jc w:val="both"/>
        <w:rPr>
          <w:i/>
          <w:sz w:val="20"/>
        </w:rPr>
      </w:pPr>
      <w:r w:rsidRPr="001B701A">
        <w:rPr>
          <w:i/>
          <w:sz w:val="20"/>
        </w:rPr>
        <w:t>«[…]</w:t>
      </w:r>
      <w:r w:rsidRPr="002C2F50">
        <w:rPr>
          <w:rFonts w:ascii="ArialMT" w:hAnsi="ArialMT" w:cs="ArialMT"/>
          <w:sz w:val="23"/>
          <w:szCs w:val="23"/>
        </w:rPr>
        <w:t xml:space="preserve"> </w:t>
      </w:r>
      <w:r w:rsidRPr="002C2F50">
        <w:rPr>
          <w:i/>
          <w:sz w:val="20"/>
        </w:rPr>
        <w:t>En</w:t>
      </w:r>
      <w:r>
        <w:rPr>
          <w:i/>
          <w:sz w:val="20"/>
        </w:rPr>
        <w:t xml:space="preserve"> </w:t>
      </w:r>
      <w:r w:rsidRPr="002C2F50">
        <w:rPr>
          <w:i/>
          <w:sz w:val="20"/>
        </w:rPr>
        <w:t>segundo lugar, de los documentos 1 a 4 de la demanda, documentos 4 a</w:t>
      </w:r>
      <w:r>
        <w:rPr>
          <w:i/>
          <w:sz w:val="20"/>
        </w:rPr>
        <w:t xml:space="preserve"> </w:t>
      </w:r>
      <w:r w:rsidRPr="002C2F50">
        <w:rPr>
          <w:i/>
          <w:sz w:val="20"/>
        </w:rPr>
        <w:t>de la contestación y de la declaración de Doña Carla Silva Vidor</w:t>
      </w:r>
      <w:r>
        <w:rPr>
          <w:i/>
          <w:sz w:val="20"/>
        </w:rPr>
        <w:t xml:space="preserve"> </w:t>
      </w:r>
      <w:r w:rsidRPr="002C2F50">
        <w:rPr>
          <w:i/>
          <w:sz w:val="20"/>
        </w:rPr>
        <w:t>(comercial de la parte demandada encargada de la vivienda objeto de</w:t>
      </w:r>
      <w:r>
        <w:rPr>
          <w:i/>
          <w:sz w:val="20"/>
        </w:rPr>
        <w:t xml:space="preserve"> </w:t>
      </w:r>
      <w:r w:rsidRPr="002C2F50">
        <w:rPr>
          <w:i/>
          <w:sz w:val="20"/>
        </w:rPr>
        <w:t>autos) resulta acreditado que la parte demandada llevó a cabo el</w:t>
      </w:r>
      <w:r>
        <w:rPr>
          <w:i/>
          <w:sz w:val="20"/>
        </w:rPr>
        <w:t xml:space="preserve"> </w:t>
      </w:r>
      <w:r w:rsidRPr="002C2F50">
        <w:rPr>
          <w:i/>
          <w:sz w:val="20"/>
        </w:rPr>
        <w:t>servicio de “acompañamiento del Cliente”, pues, aunque la parte actora</w:t>
      </w:r>
      <w:r>
        <w:rPr>
          <w:i/>
          <w:sz w:val="20"/>
        </w:rPr>
        <w:t xml:space="preserve"> </w:t>
      </w:r>
      <w:r w:rsidRPr="002C2F50">
        <w:rPr>
          <w:i/>
          <w:sz w:val="20"/>
        </w:rPr>
        <w:t>quería la vivienda concreta porque vio el anuncio en el portal Idealista,</w:t>
      </w:r>
      <w:r>
        <w:rPr>
          <w:i/>
          <w:sz w:val="20"/>
        </w:rPr>
        <w:t xml:space="preserve"> </w:t>
      </w:r>
      <w:r w:rsidRPr="002C2F50">
        <w:rPr>
          <w:i/>
          <w:sz w:val="20"/>
        </w:rPr>
        <w:t>realizó al menos dos visitas y la parte demandada se encargó de</w:t>
      </w:r>
      <w:r>
        <w:rPr>
          <w:i/>
          <w:sz w:val="20"/>
        </w:rPr>
        <w:t xml:space="preserve"> </w:t>
      </w:r>
      <w:r w:rsidRPr="002C2F50">
        <w:rPr>
          <w:i/>
          <w:sz w:val="20"/>
        </w:rPr>
        <w:t xml:space="preserve">gestionar y obtener el seguro </w:t>
      </w:r>
      <w:r w:rsidRPr="002C2F50">
        <w:rPr>
          <w:i/>
          <w:sz w:val="20"/>
        </w:rPr>
        <w:lastRenderedPageBreak/>
        <w:t>por impago de rentas con la compañía</w:t>
      </w:r>
      <w:r>
        <w:rPr>
          <w:i/>
          <w:sz w:val="20"/>
        </w:rPr>
        <w:t xml:space="preserve"> </w:t>
      </w:r>
      <w:r w:rsidRPr="002C2F50">
        <w:rPr>
          <w:i/>
          <w:sz w:val="20"/>
        </w:rPr>
        <w:t>aseguradora que solicitaba la arrendadora, (compañía con la que trabaja</w:t>
      </w:r>
      <w:r>
        <w:rPr>
          <w:i/>
          <w:sz w:val="20"/>
        </w:rPr>
        <w:t xml:space="preserve"> </w:t>
      </w:r>
      <w:r w:rsidRPr="002C2F50">
        <w:rPr>
          <w:i/>
          <w:sz w:val="20"/>
        </w:rPr>
        <w:t>habitualmente la parte demandada) dada la confianza depositada en la</w:t>
      </w:r>
      <w:r>
        <w:rPr>
          <w:i/>
          <w:sz w:val="20"/>
        </w:rPr>
        <w:t xml:space="preserve"> </w:t>
      </w:r>
      <w:r w:rsidRPr="002C2F50">
        <w:rPr>
          <w:i/>
          <w:sz w:val="20"/>
        </w:rPr>
        <w:t>misma a raíz de anteriores colaboraciones.</w:t>
      </w:r>
    </w:p>
    <w:p w14:paraId="71BBCE67" w14:textId="2E6F6D96" w:rsidR="002C2F50" w:rsidRPr="001B701A" w:rsidRDefault="002C2F50" w:rsidP="002C2F50">
      <w:pPr>
        <w:spacing w:before="120" w:after="120" w:line="360" w:lineRule="auto"/>
        <w:ind w:left="567"/>
        <w:jc w:val="both"/>
      </w:pPr>
      <w:r w:rsidRPr="002C2F50">
        <w:rPr>
          <w:i/>
          <w:sz w:val="20"/>
        </w:rPr>
        <w:t>En consecuencia, se desestiman las pretensiones de la parte actora.</w:t>
      </w:r>
      <w:r w:rsidRPr="001B701A">
        <w:rPr>
          <w:i/>
          <w:sz w:val="20"/>
        </w:rPr>
        <w:t xml:space="preserve"> una cosa es el servicio prestado por gestión y formalización que se cobran al arrendador y otro servicio de intermediación que se presta a los arrendatarios »</w:t>
      </w:r>
    </w:p>
    <w:p w14:paraId="66319B04" w14:textId="50C0AC22" w:rsidR="002C2F50" w:rsidRPr="001B701A" w:rsidRDefault="002C2F50" w:rsidP="002C2F50">
      <w:pPr>
        <w:numPr>
          <w:ilvl w:val="0"/>
          <w:numId w:val="10"/>
        </w:numPr>
        <w:spacing w:before="120" w:after="0" w:line="360" w:lineRule="auto"/>
        <w:ind w:left="0"/>
        <w:jc w:val="both"/>
      </w:pPr>
      <w:r w:rsidRPr="001B701A">
        <w:t xml:space="preserve">Se acompaña como </w:t>
      </w:r>
      <w:r w:rsidRPr="001B701A">
        <w:rPr>
          <w:b/>
          <w:u w:val="single"/>
        </w:rPr>
        <w:t>DOCUMENTO Nº 1</w:t>
      </w:r>
      <w:r>
        <w:rPr>
          <w:b/>
          <w:u w:val="single"/>
        </w:rPr>
        <w:t>3</w:t>
      </w:r>
      <w:r w:rsidRPr="001B701A">
        <w:t xml:space="preserve"> la SJPI nº </w:t>
      </w:r>
      <w:r>
        <w:t xml:space="preserve">10 </w:t>
      </w:r>
      <w:r w:rsidRPr="001B701A">
        <w:t xml:space="preserve">de </w:t>
      </w:r>
      <w:r>
        <w:t>Barcelona nº 69</w:t>
      </w:r>
      <w:r w:rsidRPr="001B701A">
        <w:t xml:space="preserve">/2025, de 10 de </w:t>
      </w:r>
      <w:r>
        <w:t>febrero de 2025</w:t>
      </w:r>
      <w:r w:rsidRPr="001B701A">
        <w:t>.</w:t>
      </w:r>
    </w:p>
    <w:p w14:paraId="1508D02B" w14:textId="2A65E69A" w:rsidR="00E945B1" w:rsidRPr="001B701A" w:rsidRDefault="00A97065" w:rsidP="001B701A">
      <w:pPr>
        <w:numPr>
          <w:ilvl w:val="0"/>
          <w:numId w:val="10"/>
        </w:numPr>
        <w:spacing w:before="120" w:after="0" w:line="360" w:lineRule="auto"/>
        <w:ind w:left="0"/>
        <w:jc w:val="both"/>
      </w:pPr>
      <w:r w:rsidRPr="001B701A">
        <w:t>Por todo ello, p</w:t>
      </w:r>
      <w:r w:rsidR="00000000" w:rsidRPr="001B701A">
        <w:t xml:space="preserve">rocede desestimar íntegramente la pretensión actora también </w:t>
      </w:r>
      <w:r w:rsidRPr="001B701A">
        <w:t>por este motivo subsidiario</w:t>
      </w:r>
      <w:r w:rsidR="00000000" w:rsidRPr="001B701A">
        <w:t>, al exceder los servicios que la Agencia prestó al actor del perímetro objetivo del art. 20.1 LAU, con imposición de costas a la actora.</w:t>
      </w:r>
    </w:p>
    <w:p w14:paraId="742A6C73" w14:textId="77777777" w:rsidR="00A97065" w:rsidRPr="001B701A" w:rsidRDefault="00A97065">
      <w:pPr>
        <w:spacing w:before="240" w:after="120" w:line="360" w:lineRule="auto"/>
        <w:jc w:val="both"/>
        <w:rPr>
          <w:b/>
        </w:rPr>
      </w:pPr>
    </w:p>
    <w:p w14:paraId="0E26CAAE" w14:textId="7D9FBD34" w:rsidR="00E945B1" w:rsidRPr="001B701A" w:rsidRDefault="00000000">
      <w:pPr>
        <w:spacing w:before="240" w:after="120" w:line="360" w:lineRule="auto"/>
        <w:jc w:val="both"/>
      </w:pPr>
      <w:commentRangeStart w:id="3"/>
      <w:r w:rsidRPr="001B701A">
        <w:rPr>
          <w:b/>
        </w:rPr>
        <w:t>NOVENO.- IMPROCEDENCIA DE LA PRETENSIÓN SUBSIDIARIA DE NULIDAD DEL ENCARGO POR VICIO DEL CONSENTIMIENTO.</w:t>
      </w:r>
      <w:commentRangeEnd w:id="3"/>
      <w:r w:rsidR="001B701A">
        <w:rPr>
          <w:rStyle w:val="Refdecomentario"/>
          <w:sz w:val="24"/>
          <w:szCs w:val="22"/>
        </w:rPr>
        <w:commentReference w:id="3"/>
      </w:r>
    </w:p>
    <w:p w14:paraId="013A2C83" w14:textId="77777777" w:rsidR="00E945B1" w:rsidRPr="001B701A" w:rsidRDefault="00000000">
      <w:pPr>
        <w:spacing w:before="120" w:after="0" w:line="360" w:lineRule="auto"/>
        <w:jc w:val="both"/>
        <w:rPr>
          <w:b/>
          <w:bCs/>
        </w:rPr>
      </w:pPr>
      <w:r w:rsidRPr="001B701A">
        <w:rPr>
          <w:b/>
          <w:bCs/>
          <w:i/>
        </w:rPr>
        <w:t>9.1. Tesis del motivo.</w:t>
      </w:r>
    </w:p>
    <w:p w14:paraId="2FCA5304" w14:textId="77777777" w:rsidR="00E945B1" w:rsidRPr="001B701A" w:rsidRDefault="00000000" w:rsidP="00DC764E">
      <w:pPr>
        <w:numPr>
          <w:ilvl w:val="0"/>
          <w:numId w:val="10"/>
        </w:numPr>
        <w:spacing w:before="120" w:after="0" w:line="360" w:lineRule="auto"/>
        <w:ind w:left="0"/>
        <w:jc w:val="both"/>
      </w:pPr>
      <w:r w:rsidRPr="001B701A">
        <w:t>Subsidiariamente, la actora postula la nulidad del Encargo por error en el consentimiento. La pretensión carece de base. El actor firmó el Encargo con conocimiento pleno y previo de la naturaleza, alcance y precio del servicio: no concurre ninguno de los tres requisitos —esencialidad, excusabilidad y nexo causal— que la jurisprudencia de la Sala Primera del Tribunal Supremo exige para la invalidación del contrato por error.</w:t>
      </w:r>
    </w:p>
    <w:p w14:paraId="112E3501" w14:textId="77777777" w:rsidR="00A97065" w:rsidRPr="001B701A" w:rsidRDefault="00A97065">
      <w:pPr>
        <w:spacing w:before="120" w:after="0" w:line="360" w:lineRule="auto"/>
        <w:jc w:val="both"/>
        <w:rPr>
          <w:b/>
          <w:bCs/>
          <w:i/>
        </w:rPr>
      </w:pPr>
    </w:p>
    <w:p w14:paraId="7FDF877C" w14:textId="65DE0337" w:rsidR="00E945B1" w:rsidRPr="001B701A" w:rsidRDefault="00000000">
      <w:pPr>
        <w:spacing w:before="120" w:after="0" w:line="360" w:lineRule="auto"/>
        <w:jc w:val="both"/>
        <w:rPr>
          <w:b/>
          <w:bCs/>
        </w:rPr>
      </w:pPr>
      <w:r w:rsidRPr="001B701A">
        <w:rPr>
          <w:b/>
          <w:bCs/>
          <w:i/>
        </w:rPr>
        <w:t>9.2. Soporte fáctico.</w:t>
      </w:r>
    </w:p>
    <w:p w14:paraId="3D5D8CE1" w14:textId="77777777" w:rsidR="00E945B1" w:rsidRDefault="00000000" w:rsidP="00DC764E">
      <w:pPr>
        <w:numPr>
          <w:ilvl w:val="0"/>
          <w:numId w:val="10"/>
        </w:numPr>
        <w:spacing w:before="120" w:after="0" w:line="360" w:lineRule="auto"/>
        <w:ind w:left="0"/>
        <w:jc w:val="both"/>
      </w:pPr>
      <w:r w:rsidRPr="001B701A">
        <w:t>La representación mental del actor al tiempo de la firma del Encargo coincidía con la realidad documentada, conforme resulta del Hecho Segundo: el actor conocía la identidad y naturaleza de los servicios contratados, el importe exacto de los honorarios, el momento de su devengo, el régimen de devolución del pago por seriedad, el derecho de desistimiento que le asistía como consumidor y la diferenciación jurídica entre estos honorarios y los gastos del art. 20.1 LAU. Lo conocía por triple soporte —exposé (Documento nº 2), comunicaciones previas con el consultor (Documento nº 4) y cláusula 1 del propio Encargo (Documento nº 5)— y los servicios contratados se le prestaron efectivamente, conforme a la síntesis del apartado 2.5 del Hecho Segundo y a la documental aportada.</w:t>
      </w:r>
    </w:p>
    <w:p w14:paraId="2F3EC0C9" w14:textId="77777777" w:rsidR="001B701A" w:rsidRPr="001B701A" w:rsidRDefault="001B701A" w:rsidP="001B701A">
      <w:pPr>
        <w:spacing w:before="120" w:after="0" w:line="360" w:lineRule="auto"/>
        <w:jc w:val="both"/>
      </w:pPr>
    </w:p>
    <w:p w14:paraId="48F27A77" w14:textId="77777777" w:rsidR="00E945B1" w:rsidRPr="001B701A" w:rsidRDefault="00000000">
      <w:pPr>
        <w:spacing w:before="120" w:after="0" w:line="360" w:lineRule="auto"/>
        <w:jc w:val="both"/>
        <w:rPr>
          <w:b/>
          <w:bCs/>
        </w:rPr>
      </w:pPr>
      <w:r w:rsidRPr="001B701A">
        <w:rPr>
          <w:b/>
          <w:bCs/>
          <w:i/>
        </w:rPr>
        <w:t>9.3. Soporte normativo y jurisprudencial.</w:t>
      </w:r>
    </w:p>
    <w:p w14:paraId="19510232" w14:textId="77777777" w:rsidR="00E945B1" w:rsidRPr="001B701A" w:rsidRDefault="00000000" w:rsidP="00DC764E">
      <w:pPr>
        <w:numPr>
          <w:ilvl w:val="0"/>
          <w:numId w:val="10"/>
        </w:numPr>
        <w:spacing w:before="120" w:after="0" w:line="360" w:lineRule="auto"/>
        <w:ind w:left="0"/>
        <w:jc w:val="both"/>
      </w:pPr>
      <w:r w:rsidRPr="001B701A">
        <w:t xml:space="preserve">Los arts. 1.265 y 1.266 CC y la jurisprudencia consolidada de la Sala Primera del Tribunal Supremo exigen, para que el error invalide el consentimiento, la concurrencia acumulativa de tres requisitos: (i) </w:t>
      </w:r>
      <w:r w:rsidRPr="001B701A">
        <w:rPr>
          <w:b/>
          <w:i/>
        </w:rPr>
        <w:t>esencialidad</w:t>
      </w:r>
      <w:r w:rsidRPr="001B701A">
        <w:t xml:space="preserve">, que el error recaiga sobre la sustancia del objeto del contrato o sobre las condiciones que principalmente dieron motivo a celebrarlo; (ii) </w:t>
      </w:r>
      <w:r w:rsidRPr="001B701A">
        <w:rPr>
          <w:b/>
          <w:i/>
        </w:rPr>
        <w:t>excusabilidad</w:t>
      </w:r>
      <w:r w:rsidRPr="001B701A">
        <w:t xml:space="preserve">, que no sea imputable a quien lo padece y no haya podido evitarse empleando una diligencia media u ordinaria, conforme a las exigencias de la buena fe del art. 7.1 CC; y (iii) </w:t>
      </w:r>
      <w:r w:rsidRPr="001B701A">
        <w:rPr>
          <w:b/>
          <w:i/>
        </w:rPr>
        <w:t>nexo causal</w:t>
      </w:r>
      <w:r w:rsidRPr="001B701A">
        <w:t>, que exista relación de causalidad entre el error y la finalidad perseguida con la celebración del negocio.</w:t>
      </w:r>
    </w:p>
    <w:p w14:paraId="53CDFF45" w14:textId="77777777" w:rsidR="00E945B1" w:rsidRPr="001B701A" w:rsidRDefault="00000000" w:rsidP="00DC764E">
      <w:pPr>
        <w:numPr>
          <w:ilvl w:val="0"/>
          <w:numId w:val="10"/>
        </w:numPr>
        <w:spacing w:before="120" w:after="0" w:line="360" w:lineRule="auto"/>
        <w:ind w:left="0"/>
        <w:jc w:val="both"/>
      </w:pPr>
      <w:r w:rsidRPr="001B701A">
        <w:t>La STS 683/2012, de 21 de noviembre (Sala Primera, rec. 1729/2009), sentencia señera en materia de error-vicio, sistematiza los presupuestos del error invalidante en los siguientes términos:</w:t>
      </w:r>
    </w:p>
    <w:p w14:paraId="20C6E25E" w14:textId="77777777" w:rsidR="00E945B1" w:rsidRPr="001B701A" w:rsidRDefault="00000000">
      <w:pPr>
        <w:spacing w:before="120" w:after="120" w:line="360" w:lineRule="auto"/>
        <w:ind w:left="567"/>
        <w:jc w:val="both"/>
      </w:pPr>
      <w:r w:rsidRPr="001B701A">
        <w:rPr>
          <w:i/>
          <w:sz w:val="20"/>
        </w:rPr>
        <w:t>«[…] hay error vicio cuando la voluntad del contratante se forma a partir de una creencia inexacta […]. Es decir, cuando la representación mental que sirve de presupuesto para la realización del contrato es equivocada o errónea. […] el error solo invalida el contrato si la ignorancia o equivocación determinante de la voluntad negocial concurrió en el momento de su perfección.»</w:t>
      </w:r>
    </w:p>
    <w:p w14:paraId="08E703FF" w14:textId="77777777" w:rsidR="00E945B1" w:rsidRPr="001B701A" w:rsidRDefault="00000000" w:rsidP="00DC764E">
      <w:pPr>
        <w:numPr>
          <w:ilvl w:val="0"/>
          <w:numId w:val="10"/>
        </w:numPr>
        <w:spacing w:before="120" w:after="0" w:line="360" w:lineRule="auto"/>
        <w:ind w:left="0"/>
        <w:jc w:val="both"/>
      </w:pPr>
      <w:r w:rsidRPr="001B701A">
        <w:t>Esa doctrina, reiterada en las SSTS de 17 de febrero de 2005 y de 12 de noviembre de 2010, insiste en el carácter excusable del error: el error inexcusable —el que pudo evitarse empleando una diligencia ordinaria— no invalida el contrato.</w:t>
      </w:r>
    </w:p>
    <w:p w14:paraId="21910AEE" w14:textId="77777777" w:rsidR="00E945B1" w:rsidRPr="001B701A" w:rsidRDefault="00000000" w:rsidP="00DC764E">
      <w:pPr>
        <w:numPr>
          <w:ilvl w:val="0"/>
          <w:numId w:val="10"/>
        </w:numPr>
        <w:spacing w:before="120" w:after="0" w:line="360" w:lineRule="auto"/>
        <w:ind w:left="0"/>
        <w:jc w:val="both"/>
      </w:pPr>
      <w:r w:rsidRPr="001B701A">
        <w:t xml:space="preserve">Aplicada al caso de autos, la conclusión es unívoca: no concurre ninguno de los tres requisitos. (i) </w:t>
      </w:r>
      <w:r w:rsidRPr="001B701A">
        <w:rPr>
          <w:i/>
        </w:rPr>
        <w:t>No hay error esencial</w:t>
      </w:r>
      <w:r w:rsidRPr="001B701A">
        <w:t xml:space="preserve">: la representación mental del actor al firmar coincidía con la realidad documentada del contrato; conocía cada elemento esencial del Encargo —servicios, precio, devengo, régimen de devolución del pago por seriedad, desistimiento— y conocía la diferenciación frente al art. 20.1 LAU. (ii) </w:t>
      </w:r>
      <w:r w:rsidRPr="001B701A">
        <w:rPr>
          <w:i/>
        </w:rPr>
        <w:t>No hay error excusable</w:t>
      </w:r>
      <w:r w:rsidRPr="001B701A">
        <w:t xml:space="preserve">: el Encargo es un documento breve, en castellano, con clausulado claro y comprensible para un consumidor medio, sin letra pequeña ni remisiones ocultas; empleando una diligencia ordinaria, el actor no podía incurrir en error sobre su contenido. Dispuso, además, de tres documentos sucesivos —exposé, Encargo y oferta de arrendamiento— donde la diferenciación respecto del art. 20.1 LAU figura por escrito. (iii) </w:t>
      </w:r>
      <w:r w:rsidRPr="001B701A">
        <w:rPr>
          <w:i/>
        </w:rPr>
        <w:t>No hay nexo causal</w:t>
      </w:r>
      <w:r w:rsidRPr="001B701A">
        <w:t>: el actor obtuvo con la firma del Encargo el resultado perseguido —el arrendamiento del Inmueble—, sin que pueda sostenerse, sin contradecir la realidad documentada, que su consentimiento se hubiera prestado para una finalidad distinta de la efectivamente alcanzada.</w:t>
      </w:r>
    </w:p>
    <w:p w14:paraId="122C0553" w14:textId="5CDBB592" w:rsidR="00E945B1" w:rsidRPr="001B701A" w:rsidRDefault="00A97065" w:rsidP="00DC764E">
      <w:pPr>
        <w:numPr>
          <w:ilvl w:val="0"/>
          <w:numId w:val="10"/>
        </w:numPr>
        <w:spacing w:before="120" w:after="0" w:line="360" w:lineRule="auto"/>
        <w:ind w:left="0"/>
        <w:jc w:val="both"/>
      </w:pPr>
      <w:r w:rsidRPr="001B701A">
        <w:lastRenderedPageBreak/>
        <w:t>Por todo ello, p</w:t>
      </w:r>
      <w:r w:rsidR="00000000" w:rsidRPr="001B701A">
        <w:t>rocede desestimar la pretensión subsidiaria de nulidad del Encargo por vicio del consentimiento, al no concurrir ninguno de los tres requisitos materiales —esencialidad, excusabilidad y nexo causal— que la jurisprudencia exige para la invalidación del negocio por error, con imposición de costas a la actora.</w:t>
      </w:r>
    </w:p>
    <w:p w14:paraId="7696D32B" w14:textId="77777777" w:rsidR="00A97065" w:rsidRPr="001B701A" w:rsidRDefault="00A97065">
      <w:pPr>
        <w:spacing w:before="240" w:after="120" w:line="360" w:lineRule="auto"/>
        <w:jc w:val="both"/>
        <w:rPr>
          <w:b/>
        </w:rPr>
      </w:pPr>
    </w:p>
    <w:p w14:paraId="3DD4F3BB" w14:textId="15A85A24" w:rsidR="00E945B1" w:rsidRPr="001B701A" w:rsidRDefault="00000000">
      <w:pPr>
        <w:spacing w:before="240" w:after="120" w:line="360" w:lineRule="auto"/>
        <w:jc w:val="both"/>
      </w:pPr>
      <w:commentRangeStart w:id="4"/>
      <w:r w:rsidRPr="001B701A">
        <w:rPr>
          <w:b/>
        </w:rPr>
        <w:t>DÉCIMO.- IMPROCEDENCIA DE LA PRETENSIÓN SUBSIDIARIA DE NULIDAD PARCIAL DEL ENCARGO POR ABUSIVIDAD DE LA CLÁUSULA DE HONORARIOS.</w:t>
      </w:r>
      <w:commentRangeEnd w:id="4"/>
      <w:r w:rsidR="001B701A">
        <w:rPr>
          <w:rStyle w:val="Refdecomentario"/>
          <w:sz w:val="24"/>
          <w:szCs w:val="22"/>
        </w:rPr>
        <w:commentReference w:id="4"/>
      </w:r>
    </w:p>
    <w:p w14:paraId="2D9717B7" w14:textId="77777777" w:rsidR="00E945B1" w:rsidRPr="001B701A" w:rsidRDefault="00000000">
      <w:pPr>
        <w:spacing w:before="120" w:after="0" w:line="360" w:lineRule="auto"/>
        <w:jc w:val="both"/>
        <w:rPr>
          <w:b/>
          <w:bCs/>
        </w:rPr>
      </w:pPr>
      <w:r w:rsidRPr="001B701A">
        <w:rPr>
          <w:b/>
          <w:bCs/>
          <w:i/>
        </w:rPr>
        <w:t>10.1. Tesis del motivo.</w:t>
      </w:r>
    </w:p>
    <w:p w14:paraId="18758599" w14:textId="47E6526E" w:rsidR="00E945B1" w:rsidRPr="001B701A" w:rsidRDefault="00000000" w:rsidP="00DC764E">
      <w:pPr>
        <w:numPr>
          <w:ilvl w:val="0"/>
          <w:numId w:val="10"/>
        </w:numPr>
        <w:spacing w:before="120" w:after="0" w:line="360" w:lineRule="auto"/>
        <w:ind w:left="0"/>
        <w:jc w:val="both"/>
      </w:pPr>
      <w:r w:rsidRPr="001B701A">
        <w:t xml:space="preserve">Subsidiariamente, la actora </w:t>
      </w:r>
      <w:r w:rsidR="00A97065" w:rsidRPr="001B701A">
        <w:t xml:space="preserve">alega </w:t>
      </w:r>
      <w:r w:rsidRPr="001B701A">
        <w:t>la nulidad parcial del Encargo por pretendida abusividad de su cláusula tercera —relativa a los honorarios de la Agencia—, invocando el art. 89.1 TRLGDCU. La pretensión carece de base por dos razones convergentes: la cláusula define el objeto principal del contrato y queda sustraída al control material de abusividad; el único control al que se somete —el de transparencia— se supera conforme a la documental aportada. Subsidiariamente, aun en hipótesis contrafáctica de control material, ni concurre declaración sobre hechos ficticios (art. 89.1 TRLGDCU) ni desequilibrio relevante (art. 82 TRLGDCU).</w:t>
      </w:r>
    </w:p>
    <w:p w14:paraId="3BE6FCD0" w14:textId="77777777" w:rsidR="00A97065" w:rsidRPr="001B701A" w:rsidRDefault="00A97065">
      <w:pPr>
        <w:spacing w:before="120" w:after="0" w:line="360" w:lineRule="auto"/>
        <w:jc w:val="both"/>
        <w:rPr>
          <w:b/>
          <w:bCs/>
          <w:i/>
        </w:rPr>
      </w:pPr>
    </w:p>
    <w:p w14:paraId="6F93084F" w14:textId="00C25FEF" w:rsidR="00E945B1" w:rsidRPr="001B701A" w:rsidRDefault="00000000">
      <w:pPr>
        <w:spacing w:before="120" w:after="0" w:line="360" w:lineRule="auto"/>
        <w:jc w:val="both"/>
        <w:rPr>
          <w:b/>
          <w:bCs/>
        </w:rPr>
      </w:pPr>
      <w:r w:rsidRPr="001B701A">
        <w:rPr>
          <w:b/>
          <w:bCs/>
          <w:i/>
        </w:rPr>
        <w:t>10.2. Soporte fáctico.</w:t>
      </w:r>
    </w:p>
    <w:p w14:paraId="76B2B4B5" w14:textId="77777777" w:rsidR="00E945B1" w:rsidRPr="001B701A" w:rsidRDefault="00000000" w:rsidP="00DC764E">
      <w:pPr>
        <w:numPr>
          <w:ilvl w:val="0"/>
          <w:numId w:val="10"/>
        </w:numPr>
        <w:spacing w:before="120" w:after="0" w:line="360" w:lineRule="auto"/>
        <w:ind w:left="0"/>
        <w:jc w:val="both"/>
      </w:pPr>
      <w:r w:rsidRPr="001B701A">
        <w:t>Conforme resulta del Hecho Segundo, el actor accedió al contenido, precio y régimen jurídico de los honorarios con tiempo, forma y reiteración suficientes para una comprensión íntegra del alcance económico del contrato, a través de un triple soporte documental: el exposé en su apartado «Comisión y condiciones» (Documento nº 2), las comunicaciones previas con el consultor (Documento nº 4) y la cláusula 1 del propio Encargo (Documento nº 5), reforzado por la oferta de arrendamiento firmada (Documento nº 6), que reproduce por escrito la misma distinción respecto del art. 20.1 LAU. Y los servicios contratados se le prestaron efectivamente, conforme a la síntesis del apartado 2.5 del Hecho Segundo y a la documental aportada.</w:t>
      </w:r>
    </w:p>
    <w:p w14:paraId="72B074AC" w14:textId="77777777" w:rsidR="00A97065" w:rsidRPr="001B701A" w:rsidRDefault="00A97065">
      <w:pPr>
        <w:spacing w:before="120" w:after="0" w:line="360" w:lineRule="auto"/>
        <w:jc w:val="both"/>
        <w:rPr>
          <w:b/>
          <w:bCs/>
          <w:i/>
        </w:rPr>
      </w:pPr>
    </w:p>
    <w:p w14:paraId="40CB8741" w14:textId="7129FBDE" w:rsidR="00E945B1" w:rsidRPr="001B701A" w:rsidRDefault="00000000">
      <w:pPr>
        <w:spacing w:before="120" w:after="0" w:line="360" w:lineRule="auto"/>
        <w:jc w:val="both"/>
        <w:rPr>
          <w:b/>
          <w:bCs/>
        </w:rPr>
      </w:pPr>
      <w:r w:rsidRPr="001B701A">
        <w:rPr>
          <w:b/>
          <w:bCs/>
          <w:i/>
        </w:rPr>
        <w:t>10.3. Soporte normativo y jurisprudencial.</w:t>
      </w:r>
    </w:p>
    <w:p w14:paraId="5B109A0F" w14:textId="77777777" w:rsidR="00E945B1" w:rsidRPr="001B701A" w:rsidRDefault="00000000">
      <w:pPr>
        <w:spacing w:before="120" w:after="0" w:line="360" w:lineRule="auto"/>
        <w:jc w:val="both"/>
        <w:rPr>
          <w:b/>
          <w:bCs/>
        </w:rPr>
      </w:pPr>
      <w:r w:rsidRPr="001B701A">
        <w:rPr>
          <w:b/>
          <w:bCs/>
          <w:i/>
        </w:rPr>
        <w:t>10.3.1. La cláusula de honorarios define el objeto principal del contrato y queda sustraída al control material de abusividad.</w:t>
      </w:r>
    </w:p>
    <w:p w14:paraId="26F31C4C" w14:textId="77777777" w:rsidR="00E945B1" w:rsidRPr="001B701A" w:rsidRDefault="00000000" w:rsidP="00DC764E">
      <w:pPr>
        <w:numPr>
          <w:ilvl w:val="0"/>
          <w:numId w:val="10"/>
        </w:numPr>
        <w:spacing w:before="120" w:after="0" w:line="360" w:lineRule="auto"/>
        <w:ind w:left="0"/>
        <w:jc w:val="both"/>
      </w:pPr>
      <w:r w:rsidRPr="001B701A">
        <w:lastRenderedPageBreak/>
        <w:t xml:space="preserve">El art. 4.2 de la Directiva 93/13/CEE, sobre cláusulas abusivas en los contratos celebrados con consumidores, excluye del control material de abusividad las cláusulas que definan el objeto principal del contrato y la adecuación entre precio y servicio, siempre que estén redactadas de manera clara y comprensible. El TJUE ha interpretado el alcance de esa exclusión en la STJUE de 3 de junio de 2010, </w:t>
      </w:r>
      <w:r w:rsidRPr="001B701A">
        <w:rPr>
          <w:i/>
        </w:rPr>
        <w:t>Caja de Madrid</w:t>
      </w:r>
      <w:r w:rsidRPr="001B701A">
        <w:t xml:space="preserve">, asunto C-484/08, y en la STJUE de 30 de abril de 2014, </w:t>
      </w:r>
      <w:r w:rsidRPr="001B701A">
        <w:rPr>
          <w:i/>
        </w:rPr>
        <w:t>Kásler y Káslerné Rábai</w:t>
      </w:r>
      <w:r w:rsidRPr="001B701A">
        <w:t>, asunto C-26/13, declarando que las cláusulas que definen el objeto principal del contrato no son susceptibles del control de abusividad sustantiva, sino únicamente del control de transparencia.</w:t>
      </w:r>
    </w:p>
    <w:p w14:paraId="57916A32" w14:textId="77777777" w:rsidR="00E945B1" w:rsidRPr="001B701A" w:rsidRDefault="00000000" w:rsidP="00DC764E">
      <w:pPr>
        <w:numPr>
          <w:ilvl w:val="0"/>
          <w:numId w:val="10"/>
        </w:numPr>
        <w:spacing w:before="120" w:after="0" w:line="360" w:lineRule="auto"/>
        <w:ind w:left="0"/>
        <w:jc w:val="both"/>
      </w:pPr>
      <w:r w:rsidRPr="001B701A">
        <w:t>La Sala Primera del Tribunal Supremo, en STS Pleno 241/2013, de 9 de mayo —reiterada en STS 367/2017, de 8 de junio—, traspuso esa doctrina al ordenamiento interno y acogió el doble control de transparencia: un primer control de incorporación y un segundo control de transparencia material, exigible a las cláusulas que, por referirse a elementos esenciales del contrato, escapan al control material de abusividad pero deben permitir al consumidor comprender, antes de la firma, el alcance económico y jurídico de la operación.</w:t>
      </w:r>
    </w:p>
    <w:p w14:paraId="00A3F129" w14:textId="77777777" w:rsidR="00E945B1" w:rsidRPr="001B701A" w:rsidRDefault="00000000" w:rsidP="00DC764E">
      <w:pPr>
        <w:numPr>
          <w:ilvl w:val="0"/>
          <w:numId w:val="10"/>
        </w:numPr>
        <w:spacing w:before="120" w:after="0" w:line="360" w:lineRule="auto"/>
        <w:ind w:left="0"/>
        <w:jc w:val="both"/>
      </w:pPr>
      <w:r w:rsidRPr="001B701A">
        <w:t>La cláusula tercera del Encargo, que fija los honorarios que el actor satisface a la Agencia, constituye la cláusula de precio del contrato de mediación y define, por tanto, el objeto principal del contrato desde la perspectiva del consumidor. Queda sustraída al control material de abusividad de los arts. 82 y 89.1 TRLGDCU; sólo es susceptible del control de transparencia del art. 80 TRLGDCU.</w:t>
      </w:r>
    </w:p>
    <w:p w14:paraId="31F37FA6" w14:textId="77777777" w:rsidR="00A97065" w:rsidRPr="001B701A" w:rsidRDefault="00A97065">
      <w:pPr>
        <w:spacing w:before="120" w:after="0" w:line="360" w:lineRule="auto"/>
        <w:jc w:val="both"/>
        <w:rPr>
          <w:b/>
          <w:bCs/>
          <w:i/>
        </w:rPr>
      </w:pPr>
    </w:p>
    <w:p w14:paraId="2C676213" w14:textId="0FA116C7" w:rsidR="00E945B1" w:rsidRPr="001B701A" w:rsidRDefault="00000000">
      <w:pPr>
        <w:spacing w:before="120" w:after="0" w:line="360" w:lineRule="auto"/>
        <w:jc w:val="both"/>
        <w:rPr>
          <w:b/>
          <w:bCs/>
        </w:rPr>
      </w:pPr>
      <w:r w:rsidRPr="001B701A">
        <w:rPr>
          <w:b/>
          <w:bCs/>
          <w:i/>
        </w:rPr>
        <w:t>10.3.2. El control de transparencia se supera.</w:t>
      </w:r>
    </w:p>
    <w:p w14:paraId="152A44E1" w14:textId="77777777" w:rsidR="00E945B1" w:rsidRPr="001B701A" w:rsidRDefault="00000000" w:rsidP="00DC764E">
      <w:pPr>
        <w:numPr>
          <w:ilvl w:val="0"/>
          <w:numId w:val="10"/>
        </w:numPr>
        <w:spacing w:before="120" w:after="0" w:line="360" w:lineRule="auto"/>
        <w:ind w:left="0"/>
        <w:jc w:val="both"/>
      </w:pPr>
      <w:r w:rsidRPr="001B701A">
        <w:t>El triple soporte documental descrito en el Hecho Segundo y reseñado supra satisface el control de transparencia. Esta conclusión la ha acogido, en caso sustancialmente idéntico al de autos y respecto de la misma cláusula de la Agencia, la SJPI nº 46 de Madrid 559/2025 (Documento nº 12), que declara:</w:t>
      </w:r>
    </w:p>
    <w:p w14:paraId="11A11FC7" w14:textId="77777777" w:rsidR="00E945B1" w:rsidRPr="001B701A" w:rsidRDefault="00000000">
      <w:pPr>
        <w:spacing w:before="120" w:after="120" w:line="360" w:lineRule="auto"/>
        <w:ind w:left="567"/>
        <w:jc w:val="both"/>
      </w:pPr>
      <w:r w:rsidRPr="001B701A">
        <w:rPr>
          <w:i/>
          <w:sz w:val="20"/>
        </w:rPr>
        <w:t>«No puede hablarse de falta de transparencia, cuando, al tratarse de una cláusula esencial, solo cabe su control de incorporación; es decir que sea comprensible gramaticalmente y no pase desapercibido.»</w:t>
      </w:r>
    </w:p>
    <w:p w14:paraId="6D4CE1AE" w14:textId="77777777" w:rsidR="00E945B1" w:rsidRPr="001B701A" w:rsidRDefault="00000000">
      <w:pPr>
        <w:spacing w:before="120" w:after="0" w:line="360" w:lineRule="auto"/>
        <w:jc w:val="both"/>
        <w:rPr>
          <w:b/>
          <w:bCs/>
        </w:rPr>
      </w:pPr>
      <w:r w:rsidRPr="001B701A">
        <w:rPr>
          <w:b/>
          <w:bCs/>
          <w:i/>
        </w:rPr>
        <w:t>10.3.3. Subsidiariamente: ni declaración sobre hechos ficticios ni desequilibrio relevante.</w:t>
      </w:r>
    </w:p>
    <w:p w14:paraId="397AC43D" w14:textId="77777777" w:rsidR="00E945B1" w:rsidRPr="001B701A" w:rsidRDefault="00000000" w:rsidP="00DC764E">
      <w:pPr>
        <w:numPr>
          <w:ilvl w:val="0"/>
          <w:numId w:val="10"/>
        </w:numPr>
        <w:spacing w:before="120" w:after="0" w:line="360" w:lineRule="auto"/>
        <w:ind w:left="0"/>
        <w:jc w:val="both"/>
      </w:pPr>
      <w:r w:rsidRPr="001B701A">
        <w:t xml:space="preserve">Aun en la hipótesis contrafáctica de que el Juzgador descartara la calificación de la cláusula como esencial y entrara en el control material del art. 89.1 TRLGDCU, la pretensión decaería por igual: el precepto reputa abusivas «las declaraciones de recepción o conformidad sobre hechos ficticios», y el Encargo no contiene tales declaraciones. Describe servicios que la </w:t>
      </w:r>
      <w:r w:rsidRPr="001B701A">
        <w:lastRenderedPageBreak/>
        <w:t>Agencia efectivamente prestó al actor, individualizados conforme al apartado 2.5 del Hecho Segundo. No hay ficción: hay prestación real y documentada.</w:t>
      </w:r>
    </w:p>
    <w:p w14:paraId="35C7294F" w14:textId="77777777" w:rsidR="00E945B1" w:rsidRPr="001B701A" w:rsidRDefault="00000000" w:rsidP="00DC764E">
      <w:pPr>
        <w:numPr>
          <w:ilvl w:val="0"/>
          <w:numId w:val="10"/>
        </w:numPr>
        <w:spacing w:before="120" w:after="0" w:line="360" w:lineRule="auto"/>
        <w:ind w:left="0"/>
        <w:jc w:val="both"/>
      </w:pPr>
      <w:r w:rsidRPr="001B701A">
        <w:t>Tampoco concurre el desequilibrio relevante que el art. 82 TRLGDCU exige como presupuesto material de la abusividad. El actor recibió servicios individualizables, valiosos y efectivamente prestados, por un precio libremente aceptado y proporcional a la contraprestación; y accedió al contenido económico y jurídico del contrato con triple soporte informativo. No hay desequilibrio; hay equilibrio contractual acorde con las exigencias de la buena fe.</w:t>
      </w:r>
    </w:p>
    <w:p w14:paraId="753CD38E" w14:textId="4C4C006D" w:rsidR="00E945B1" w:rsidRPr="001B701A" w:rsidRDefault="00A97065" w:rsidP="00DC764E">
      <w:pPr>
        <w:numPr>
          <w:ilvl w:val="0"/>
          <w:numId w:val="10"/>
        </w:numPr>
        <w:spacing w:before="120" w:after="0" w:line="360" w:lineRule="auto"/>
        <w:ind w:left="142"/>
        <w:jc w:val="both"/>
      </w:pPr>
      <w:r w:rsidRPr="001B701A">
        <w:t>Por todo ello, p</w:t>
      </w:r>
      <w:r w:rsidR="00000000" w:rsidRPr="001B701A">
        <w:t>rocede desestimar la pretensión subsidiaria de nulidad parcial del Encargo por abusividad de su cláusula tercera, al quedar dicha cláusula extramuros del control material de abusividad por definir el objeto principal del contrato y al superarse el control de transparencia del art. 80 TRLGDCU, conforme al art. 4.2 de la Directiva 93/13/CEE, a la doctrina del TJUE y al doble control de transparencia del Pleno de la Sala Primera del Tribunal Supremo, con imposición de costas a la actora.</w:t>
      </w:r>
    </w:p>
    <w:p w14:paraId="4AE44539" w14:textId="77777777" w:rsidR="00A97065" w:rsidRPr="001B701A" w:rsidRDefault="00A97065">
      <w:pPr>
        <w:spacing w:before="360" w:after="120" w:line="360" w:lineRule="auto"/>
        <w:jc w:val="center"/>
        <w:rPr>
          <w:b/>
        </w:rPr>
      </w:pPr>
    </w:p>
    <w:p w14:paraId="398CDE14" w14:textId="44A6B7C1" w:rsidR="00E945B1" w:rsidRPr="001B701A" w:rsidRDefault="00000000">
      <w:pPr>
        <w:spacing w:before="360" w:after="120" w:line="360" w:lineRule="auto"/>
        <w:jc w:val="center"/>
      </w:pPr>
      <w:r w:rsidRPr="001B701A">
        <w:rPr>
          <w:b/>
        </w:rPr>
        <w:t>FUNDAMENTOS DE DERECHO</w:t>
      </w:r>
    </w:p>
    <w:p w14:paraId="6C3089E4" w14:textId="7331741A" w:rsidR="00E945B1" w:rsidRPr="001B701A" w:rsidRDefault="00A97065">
      <w:pPr>
        <w:spacing w:before="120" w:after="0" w:line="360" w:lineRule="auto"/>
        <w:jc w:val="both"/>
        <w:rPr>
          <w:b/>
          <w:bCs/>
          <w:iCs/>
        </w:rPr>
      </w:pPr>
      <w:r w:rsidRPr="001B701A">
        <w:rPr>
          <w:b/>
          <w:bCs/>
          <w:iCs/>
        </w:rPr>
        <w:t>I. COMPETENCIA, JURISDICCIÓN Y PROCEDIMIENTO.</w:t>
      </w:r>
    </w:p>
    <w:p w14:paraId="1D26EDDC" w14:textId="77777777" w:rsidR="00E945B1" w:rsidRPr="001B701A" w:rsidRDefault="00000000">
      <w:pPr>
        <w:spacing w:before="120" w:after="0" w:line="360" w:lineRule="auto"/>
        <w:jc w:val="both"/>
      </w:pPr>
      <w:r w:rsidRPr="001B701A">
        <w:t>Esta parte muestra su conformidad con la competencia territorial y el procedimiento elegidos por la actora. Corresponden la jurisdicción y la competencia objetiva al Juzgado al que nos dirigimos, conforme a los arts. 117.3 CE, 2, 9 y 21.1 LOPJ, y a los arts. 36 y 85 LEC. La controversia se sustancia por los cauces del juicio verbal (arts. 250.2 y 437 y siguientes LEC), habida cuenta de la cuantía reclamada.</w:t>
      </w:r>
    </w:p>
    <w:p w14:paraId="75B3D91A" w14:textId="77777777" w:rsidR="00A97065" w:rsidRPr="001B701A" w:rsidRDefault="00A97065">
      <w:pPr>
        <w:spacing w:before="120" w:after="0" w:line="360" w:lineRule="auto"/>
        <w:jc w:val="both"/>
        <w:rPr>
          <w:b/>
          <w:bCs/>
          <w:iCs/>
        </w:rPr>
      </w:pPr>
    </w:p>
    <w:p w14:paraId="797FD87A" w14:textId="5F6D0DB6" w:rsidR="00E945B1" w:rsidRPr="001B701A" w:rsidRDefault="00A97065">
      <w:pPr>
        <w:spacing w:before="120" w:after="0" w:line="360" w:lineRule="auto"/>
        <w:jc w:val="both"/>
        <w:rPr>
          <w:b/>
          <w:bCs/>
          <w:iCs/>
        </w:rPr>
      </w:pPr>
      <w:r w:rsidRPr="001B701A">
        <w:rPr>
          <w:b/>
          <w:bCs/>
          <w:iCs/>
        </w:rPr>
        <w:t>II. LEGITIMACIÓN.</w:t>
      </w:r>
    </w:p>
    <w:p w14:paraId="38A0AC11" w14:textId="77777777" w:rsidR="00E945B1" w:rsidRPr="001B701A" w:rsidRDefault="00000000">
      <w:pPr>
        <w:spacing w:before="120" w:after="0" w:line="360" w:lineRule="auto"/>
        <w:jc w:val="both"/>
      </w:pPr>
      <w:r w:rsidRPr="001B701A">
        <w:t xml:space="preserve">Esta parte invoca, como cuestión a resolver en sentencia, la falta de legitimación pasiva </w:t>
      </w:r>
      <w:r w:rsidRPr="001B701A">
        <w:rPr>
          <w:i/>
        </w:rPr>
        <w:t>ad causam</w:t>
      </w:r>
      <w:r w:rsidRPr="001B701A">
        <w:t xml:space="preserve"> de la Agencia, conforme a los arts. 9 y 10 LEC y a la doctrina consolidada de la Sala Primera del Tribunal Supremo. Su alcance y desarrollo se exponen en el Hecho Cuarto del presente escrito, al que esta parte se remite íntegramente.</w:t>
      </w:r>
    </w:p>
    <w:p w14:paraId="7E7E780B" w14:textId="77777777" w:rsidR="00A97065" w:rsidRPr="001B701A" w:rsidRDefault="00A97065">
      <w:pPr>
        <w:spacing w:before="120" w:after="0" w:line="360" w:lineRule="auto"/>
        <w:jc w:val="both"/>
        <w:rPr>
          <w:i/>
        </w:rPr>
      </w:pPr>
    </w:p>
    <w:p w14:paraId="06F5E9D0" w14:textId="4F5C8904" w:rsidR="00E945B1" w:rsidRPr="001B701A" w:rsidRDefault="00A97065">
      <w:pPr>
        <w:spacing w:before="120" w:after="0" w:line="360" w:lineRule="auto"/>
        <w:jc w:val="both"/>
        <w:rPr>
          <w:b/>
          <w:bCs/>
          <w:iCs/>
        </w:rPr>
      </w:pPr>
      <w:r w:rsidRPr="001B701A">
        <w:rPr>
          <w:b/>
          <w:bCs/>
          <w:iCs/>
        </w:rPr>
        <w:t>III. POSTULACIÓN.</w:t>
      </w:r>
    </w:p>
    <w:p w14:paraId="231777AD" w14:textId="77777777" w:rsidR="00E945B1" w:rsidRPr="001B701A" w:rsidRDefault="00000000">
      <w:pPr>
        <w:spacing w:before="120" w:after="0" w:line="360" w:lineRule="auto"/>
        <w:jc w:val="both"/>
      </w:pPr>
      <w:r w:rsidRPr="001B701A">
        <w:lastRenderedPageBreak/>
        <w:t>Intervienen por la Agencia los profesionales indicados en el encabezamiento, debidamente habilitados conforme a los arts. 23 y 31 LEC.</w:t>
      </w:r>
    </w:p>
    <w:p w14:paraId="582A8A20" w14:textId="77777777" w:rsidR="00A97065" w:rsidRPr="001B701A" w:rsidRDefault="00A97065">
      <w:pPr>
        <w:spacing w:before="120" w:after="0" w:line="360" w:lineRule="auto"/>
        <w:jc w:val="both"/>
        <w:rPr>
          <w:i/>
        </w:rPr>
      </w:pPr>
    </w:p>
    <w:p w14:paraId="5656FAA4" w14:textId="4666AB78" w:rsidR="00E945B1" w:rsidRPr="001B701A" w:rsidRDefault="00A97065">
      <w:pPr>
        <w:spacing w:before="120" w:after="0" w:line="360" w:lineRule="auto"/>
        <w:jc w:val="both"/>
        <w:rPr>
          <w:b/>
          <w:bCs/>
          <w:iCs/>
        </w:rPr>
      </w:pPr>
      <w:r w:rsidRPr="001B701A">
        <w:rPr>
          <w:b/>
          <w:bCs/>
          <w:iCs/>
        </w:rPr>
        <w:t>IV. IURA NOVIT CURIA.</w:t>
      </w:r>
    </w:p>
    <w:p w14:paraId="61DA5AC4" w14:textId="77777777" w:rsidR="00E945B1" w:rsidRPr="001B701A" w:rsidRDefault="00000000">
      <w:pPr>
        <w:spacing w:before="120" w:after="0" w:line="360" w:lineRule="auto"/>
        <w:jc w:val="both"/>
      </w:pPr>
      <w:r w:rsidRPr="001B701A">
        <w:t xml:space="preserve">Esta parte interesa la aplicación a la controversia de cuantos preceptos, aun no invocados expresamente, resulten pertinentes, en virtud de los principios </w:t>
      </w:r>
      <w:r w:rsidRPr="001B701A">
        <w:rPr>
          <w:i/>
        </w:rPr>
        <w:t>iura novit curia</w:t>
      </w:r>
      <w:r w:rsidRPr="001B701A">
        <w:t xml:space="preserve"> y </w:t>
      </w:r>
      <w:r w:rsidRPr="001B701A">
        <w:rPr>
          <w:i/>
        </w:rPr>
        <w:t>da mihi factum, dabo tibi ius</w:t>
      </w:r>
      <w:r w:rsidRPr="001B701A">
        <w:t>.</w:t>
      </w:r>
    </w:p>
    <w:p w14:paraId="2FCB9EA2" w14:textId="77777777" w:rsidR="00A97065" w:rsidRPr="001B701A" w:rsidRDefault="00A97065">
      <w:pPr>
        <w:spacing w:before="120" w:after="0" w:line="360" w:lineRule="auto"/>
        <w:jc w:val="both"/>
        <w:rPr>
          <w:b/>
          <w:bCs/>
          <w:iCs/>
        </w:rPr>
      </w:pPr>
    </w:p>
    <w:p w14:paraId="10D8EE58" w14:textId="08D6B432" w:rsidR="00E945B1" w:rsidRPr="001B701A" w:rsidRDefault="00A97065">
      <w:pPr>
        <w:spacing w:before="120" w:after="0" w:line="360" w:lineRule="auto"/>
        <w:jc w:val="both"/>
        <w:rPr>
          <w:b/>
          <w:bCs/>
          <w:iCs/>
        </w:rPr>
      </w:pPr>
      <w:r w:rsidRPr="001B701A">
        <w:rPr>
          <w:b/>
          <w:bCs/>
          <w:iCs/>
        </w:rPr>
        <w:t>V. COSTAS.</w:t>
      </w:r>
    </w:p>
    <w:p w14:paraId="6D3C50FA" w14:textId="77777777" w:rsidR="00E945B1" w:rsidRPr="001B701A" w:rsidRDefault="00000000">
      <w:pPr>
        <w:spacing w:before="120" w:after="0" w:line="360" w:lineRule="auto"/>
        <w:jc w:val="both"/>
      </w:pPr>
      <w:r w:rsidRPr="001B701A">
        <w:t>Resulta de aplicación el art. 394.1 LEC: en virtud del principio objetivo de vencimiento, las costas deben imponerse a la actora, sin que concurran dudas de hecho ni de derecho que justifiquen su no imposición a la vista del criterio judicial coincidente favorable a la Agencia.</w:t>
      </w:r>
    </w:p>
    <w:p w14:paraId="3DFB6AB3" w14:textId="77777777" w:rsidR="00E945B1" w:rsidRPr="001B701A" w:rsidRDefault="00000000">
      <w:pPr>
        <w:spacing w:before="360" w:after="120" w:line="360" w:lineRule="auto"/>
        <w:jc w:val="center"/>
      </w:pPr>
      <w:r w:rsidRPr="001B701A">
        <w:rPr>
          <w:b/>
        </w:rPr>
        <w:t>AL JUZGADO SUPLICO</w:t>
      </w:r>
    </w:p>
    <w:p w14:paraId="713933CF" w14:textId="61504D4B" w:rsidR="00E945B1" w:rsidRPr="001B701A" w:rsidRDefault="00000000">
      <w:pPr>
        <w:spacing w:before="120" w:after="0" w:line="360" w:lineRule="auto"/>
        <w:jc w:val="both"/>
      </w:pPr>
      <w:r w:rsidRPr="001B701A">
        <w:t xml:space="preserve">Que tenga por presentado este escrito, junto con los documentos y las copias que lo acompañan, se sirva admitirlo y tenga por comparecida y parte a esta representación, entendiéndose con ella las sucesivas actuaciones; tenga por contestada en tiempo y forma la demanda interpuesta por </w:t>
      </w:r>
      <w:r w:rsidRPr="001B701A">
        <w:rPr>
          <w:b/>
        </w:rPr>
        <w:t>DON/DOÑA [NOMBRE DEL ACTOR]</w:t>
      </w:r>
      <w:r w:rsidRPr="001B701A">
        <w:t xml:space="preserve"> frente a </w:t>
      </w:r>
      <w:r w:rsidRPr="001B701A">
        <w:rPr>
          <w:b/>
        </w:rPr>
        <w:t>EV MMC SPAIN, S.L.U.</w:t>
      </w:r>
      <w:r w:rsidRPr="001B701A">
        <w:t xml:space="preserve">; y, previos los trámites procesales oportunos, incluida la celebración de vista, dicte sentencia por la que: (i) con carácter principal, estime la excepción de falta de legitimación pasiva </w:t>
      </w:r>
      <w:r w:rsidRPr="001B701A">
        <w:rPr>
          <w:i/>
        </w:rPr>
        <w:t>ad causam</w:t>
      </w:r>
      <w:r w:rsidRPr="001B701A">
        <w:t xml:space="preserve"> de la Agencia y desestime íntegramente la demanda sin entrar a conocer del fondo; (ii) subsidiariamente, entrando al fondo, desestime íntegramente la demanda por inaplicabilidad del art. 20.1 LAU a </w:t>
      </w:r>
      <w:r w:rsidR="002B659E" w:rsidRPr="001B701A">
        <w:t>los servicios prestados por mi representada</w:t>
      </w:r>
      <w:r w:rsidRPr="001B701A">
        <w:t xml:space="preserve">; (iii) subsidiariamente, antes de dictar sentencia, acuerde la audiencia común e improrrogable de diez días a las partes y al Ministerio Fiscal, al amparo del art. 35.2 LOTC, a los efectos del planteamiento de cuestión de inconstitucionalidad del art. 20.1, último párrafo, LAU, en la interpretación extensiva controvertida (Hecho Séptimo); (iv) subsidiariamente, desestime las pretensiones subsidiarias de la actora por exceder los servicios prestados al actor del </w:t>
      </w:r>
      <w:r w:rsidR="002B659E" w:rsidRPr="001B701A">
        <w:t xml:space="preserve">objeto </w:t>
      </w:r>
      <w:r w:rsidRPr="001B701A">
        <w:t>del art. 20.1 LAU y por no concurrir los presupuestos materiales de la nulidad del Encargo por vicio del consentimiento ni por abusividad de la cláusula de honorarios; y (v) en todos los casos, con expresa imposición de costas a la parte actora.</w:t>
      </w:r>
    </w:p>
    <w:p w14:paraId="3A8583C9" w14:textId="77777777" w:rsidR="00E945B1" w:rsidRPr="001B701A" w:rsidRDefault="00000000">
      <w:pPr>
        <w:spacing w:before="360" w:after="0" w:line="360" w:lineRule="auto"/>
        <w:jc w:val="both"/>
      </w:pPr>
      <w:r w:rsidRPr="001B701A">
        <w:rPr>
          <w:b/>
        </w:rPr>
        <w:lastRenderedPageBreak/>
        <w:t xml:space="preserve">PRIMER OTROSÍ DIGO: </w:t>
      </w:r>
      <w:r w:rsidRPr="001B701A">
        <w:t>Que, al amparo del art. 438.4 LEC, esta parte interesa la celebración de vista, con el fin de practicar la prueba testifical y la ratificación documental que permitan acreditar el efectivo encargo y la prestación de los servicios de mediación.</w:t>
      </w:r>
    </w:p>
    <w:p w14:paraId="3064C2DF" w14:textId="77777777" w:rsidR="001B701A" w:rsidRDefault="00000000" w:rsidP="001B701A">
      <w:pPr>
        <w:spacing w:before="120" w:after="0" w:line="360" w:lineRule="auto"/>
        <w:jc w:val="both"/>
      </w:pPr>
      <w:r w:rsidRPr="001B701A">
        <w:rPr>
          <w:b/>
        </w:rPr>
        <w:t xml:space="preserve">AL JUZGADO SUPLICO </w:t>
      </w:r>
      <w:r w:rsidRPr="001B701A">
        <w:t>tenga por solicitada la celebración de vista.</w:t>
      </w:r>
    </w:p>
    <w:p w14:paraId="116DE5F1" w14:textId="5161CF91" w:rsidR="002B659E" w:rsidRPr="001B701A" w:rsidRDefault="00000000" w:rsidP="001B701A">
      <w:pPr>
        <w:spacing w:before="120" w:after="0" w:line="360" w:lineRule="auto"/>
        <w:jc w:val="both"/>
      </w:pPr>
      <w:r w:rsidRPr="001B701A">
        <w:t>Es Justicia que respetuosamente pido en [LOCALIDAD] a [FECHA].</w:t>
      </w:r>
    </w:p>
    <w:tbl>
      <w:tblPr>
        <w:tblW w:w="0" w:type="auto"/>
        <w:jc w:val="center"/>
        <w:tblLook w:val="04A0" w:firstRow="1" w:lastRow="0" w:firstColumn="1" w:lastColumn="0" w:noHBand="0" w:noVBand="1"/>
      </w:tblPr>
      <w:tblGrid>
        <w:gridCol w:w="4536"/>
        <w:gridCol w:w="4536"/>
      </w:tblGrid>
      <w:tr w:rsidR="00E945B1" w:rsidRPr="001B701A" w14:paraId="35A1304C" w14:textId="77777777">
        <w:trPr>
          <w:jc w:val="center"/>
        </w:trPr>
        <w:tc>
          <w:tcPr>
            <w:tcW w:w="4536" w:type="dxa"/>
          </w:tcPr>
          <w:p w14:paraId="2D2C861F" w14:textId="2494ACA5" w:rsidR="00E945B1" w:rsidRPr="001B701A" w:rsidRDefault="00000000" w:rsidP="001B701A">
            <w:pPr>
              <w:jc w:val="center"/>
            </w:pPr>
            <w:r w:rsidRPr="001B701A">
              <w:rPr>
                <w:b/>
              </w:rPr>
              <w:t>EL LETRADO</w:t>
            </w:r>
          </w:p>
        </w:tc>
        <w:tc>
          <w:tcPr>
            <w:tcW w:w="4536" w:type="dxa"/>
          </w:tcPr>
          <w:p w14:paraId="4192BE74" w14:textId="474A32B7" w:rsidR="001B701A" w:rsidRPr="001B701A" w:rsidRDefault="00000000" w:rsidP="001B701A">
            <w:pPr>
              <w:jc w:val="center"/>
              <w:rPr>
                <w:b/>
              </w:rPr>
            </w:pPr>
            <w:r w:rsidRPr="001B701A">
              <w:rPr>
                <w:b/>
              </w:rPr>
              <w:t>EL/LA PROCURADOR/A</w:t>
            </w:r>
          </w:p>
        </w:tc>
      </w:tr>
      <w:tr w:rsidR="00E945B1" w:rsidRPr="001B701A" w14:paraId="7966ADA5" w14:textId="77777777">
        <w:trPr>
          <w:jc w:val="center"/>
        </w:trPr>
        <w:tc>
          <w:tcPr>
            <w:tcW w:w="4536" w:type="dxa"/>
          </w:tcPr>
          <w:p w14:paraId="03C6AA61" w14:textId="77777777" w:rsidR="00E945B1" w:rsidRPr="001B701A" w:rsidRDefault="00000000">
            <w:pPr>
              <w:jc w:val="center"/>
            </w:pPr>
            <w:r w:rsidRPr="001B701A">
              <w:rPr>
                <w:b/>
              </w:rPr>
              <w:t>DON NIKOLAI TYUKHAY</w:t>
            </w:r>
          </w:p>
        </w:tc>
        <w:tc>
          <w:tcPr>
            <w:tcW w:w="4536" w:type="dxa"/>
          </w:tcPr>
          <w:p w14:paraId="77830BC0" w14:textId="77777777" w:rsidR="00E945B1" w:rsidRPr="001B701A" w:rsidRDefault="00000000">
            <w:pPr>
              <w:jc w:val="center"/>
            </w:pPr>
            <w:r w:rsidRPr="001B701A">
              <w:rPr>
                <w:b/>
              </w:rPr>
              <w:t>DON/DOÑA [NOMBRE DEL/DE LA PROCURADOR/A]</w:t>
            </w:r>
          </w:p>
        </w:tc>
      </w:tr>
    </w:tbl>
    <w:p w14:paraId="456EB088" w14:textId="51562CAE" w:rsidR="00E945B1" w:rsidRPr="001B701A" w:rsidRDefault="00000000" w:rsidP="002C2F50">
      <w:pPr>
        <w:jc w:val="center"/>
      </w:pPr>
      <w:r w:rsidRPr="001B701A">
        <w:br w:type="page"/>
      </w:r>
      <w:r w:rsidRPr="001B701A">
        <w:rPr>
          <w:b/>
        </w:rPr>
        <w:lastRenderedPageBreak/>
        <w:t>ÍNDICE DOCUMENTAL</w:t>
      </w:r>
    </w:p>
    <w:p w14:paraId="42772540" w14:textId="77777777" w:rsidR="00E945B1" w:rsidRPr="001B701A" w:rsidRDefault="00000000" w:rsidP="002C2F50">
      <w:pPr>
        <w:spacing w:before="120" w:after="0" w:line="360" w:lineRule="auto"/>
        <w:jc w:val="both"/>
      </w:pPr>
      <w:r w:rsidRPr="001B701A">
        <w:rPr>
          <w:b/>
          <w:u w:val="single"/>
        </w:rPr>
        <w:t>DOCUMENTO Nº 1</w:t>
      </w:r>
      <w:r w:rsidRPr="001B701A">
        <w:t>: Encargo de arrendamiento suscrito entre la Agencia y el propietario del Inmueble.</w:t>
      </w:r>
    </w:p>
    <w:p w14:paraId="6FDCEBE7" w14:textId="77777777" w:rsidR="00E945B1" w:rsidRPr="001B701A" w:rsidRDefault="00000000" w:rsidP="002C2F50">
      <w:pPr>
        <w:spacing w:before="120" w:after="0" w:line="360" w:lineRule="auto"/>
        <w:jc w:val="both"/>
      </w:pPr>
      <w:r w:rsidRPr="001B701A">
        <w:rPr>
          <w:b/>
          <w:u w:val="single"/>
        </w:rPr>
        <w:t>DOCUMENTO Nº 2</w:t>
      </w:r>
      <w:r w:rsidRPr="001B701A">
        <w:t>: Exposé o dossier publicitario del Inmueble.</w:t>
      </w:r>
    </w:p>
    <w:p w14:paraId="0952ED17" w14:textId="77777777" w:rsidR="00E945B1" w:rsidRPr="001B701A" w:rsidRDefault="00000000" w:rsidP="002C2F50">
      <w:pPr>
        <w:spacing w:before="120" w:after="0" w:line="360" w:lineRule="auto"/>
        <w:jc w:val="both"/>
      </w:pPr>
      <w:r w:rsidRPr="001B701A">
        <w:rPr>
          <w:b/>
          <w:u w:val="single"/>
        </w:rPr>
        <w:t>DOCUMENTO Nº 3</w:t>
      </w:r>
      <w:r w:rsidRPr="001B701A">
        <w:t>: Registro de la solicitud del actor en el CRM de la Agencia.</w:t>
      </w:r>
    </w:p>
    <w:p w14:paraId="4D5E3BAF" w14:textId="77777777" w:rsidR="00E945B1" w:rsidRPr="001B701A" w:rsidRDefault="00000000" w:rsidP="002C2F50">
      <w:pPr>
        <w:spacing w:before="120" w:after="0" w:line="360" w:lineRule="auto"/>
        <w:jc w:val="both"/>
      </w:pPr>
      <w:r w:rsidRPr="001B701A">
        <w:rPr>
          <w:b/>
          <w:u w:val="single"/>
        </w:rPr>
        <w:t>DOCUMENTO Nº 4</w:t>
      </w:r>
      <w:r w:rsidRPr="001B701A">
        <w:t>: Comunicaciones previas entre el consultor inmobiliario y el actor (correo electrónico y mensajería instantánea).</w:t>
      </w:r>
    </w:p>
    <w:p w14:paraId="3324887C" w14:textId="77777777" w:rsidR="00E945B1" w:rsidRPr="001B701A" w:rsidRDefault="00000000" w:rsidP="002C2F50">
      <w:pPr>
        <w:spacing w:before="120" w:after="0" w:line="360" w:lineRule="auto"/>
        <w:jc w:val="both"/>
      </w:pPr>
      <w:r w:rsidRPr="001B701A">
        <w:rPr>
          <w:b/>
          <w:u w:val="single"/>
        </w:rPr>
        <w:t>DOCUMENTO Nº 5</w:t>
      </w:r>
      <w:r w:rsidRPr="001B701A">
        <w:t>: Encargo de prestación de servicios suscrito por el actor.</w:t>
      </w:r>
    </w:p>
    <w:p w14:paraId="1B94C3B5" w14:textId="77777777" w:rsidR="00E945B1" w:rsidRPr="001B701A" w:rsidRDefault="00000000" w:rsidP="002C2F50">
      <w:pPr>
        <w:spacing w:before="120" w:after="0" w:line="360" w:lineRule="auto"/>
        <w:jc w:val="both"/>
      </w:pPr>
      <w:r w:rsidRPr="001B701A">
        <w:rPr>
          <w:b/>
          <w:u w:val="single"/>
        </w:rPr>
        <w:t>DOCUMENTO Nº 6</w:t>
      </w:r>
      <w:r w:rsidRPr="001B701A">
        <w:t>: Oferta de arrendamiento suscrita por el actor.</w:t>
      </w:r>
    </w:p>
    <w:p w14:paraId="3524B53F" w14:textId="77777777" w:rsidR="00E945B1" w:rsidRPr="001B701A" w:rsidRDefault="00000000" w:rsidP="002C2F50">
      <w:pPr>
        <w:spacing w:before="120" w:after="0" w:line="360" w:lineRule="auto"/>
        <w:jc w:val="both"/>
      </w:pPr>
      <w:r w:rsidRPr="001B701A">
        <w:rPr>
          <w:b/>
          <w:u w:val="single"/>
        </w:rPr>
        <w:t>DOCUMENTO Nº 7</w:t>
      </w:r>
      <w:r w:rsidRPr="001B701A">
        <w:t>: Contrato de arrendamiento suscrito entre el actor y el propietario del Inmueble.</w:t>
      </w:r>
    </w:p>
    <w:p w14:paraId="5C49F818" w14:textId="77777777" w:rsidR="00E945B1" w:rsidRPr="001B701A" w:rsidRDefault="00000000" w:rsidP="002C2F50">
      <w:pPr>
        <w:spacing w:before="120" w:after="0" w:line="360" w:lineRule="auto"/>
        <w:jc w:val="both"/>
      </w:pPr>
      <w:r w:rsidRPr="001B701A">
        <w:rPr>
          <w:b/>
          <w:u w:val="single"/>
        </w:rPr>
        <w:t>DOCUMENTO Nº 8</w:t>
      </w:r>
      <w:r w:rsidRPr="001B701A">
        <w:t>: Factura emitida por la Agencia al actor.</w:t>
      </w:r>
    </w:p>
    <w:p w14:paraId="1CBF9221" w14:textId="77777777" w:rsidR="00E945B1" w:rsidRPr="001B701A" w:rsidRDefault="00000000" w:rsidP="002C2F50">
      <w:pPr>
        <w:spacing w:before="120" w:after="0" w:line="360" w:lineRule="auto"/>
        <w:jc w:val="both"/>
      </w:pPr>
      <w:r w:rsidRPr="001B701A">
        <w:rPr>
          <w:b/>
          <w:u w:val="single"/>
        </w:rPr>
        <w:t>DOCUMENTO Nº 9</w:t>
      </w:r>
      <w:r w:rsidRPr="001B701A">
        <w:t>: [VARIANTE] Factura emitida por la Agencia al propietario.</w:t>
      </w:r>
    </w:p>
    <w:p w14:paraId="7EFCB11B" w14:textId="34BA1970" w:rsidR="00E945B1" w:rsidRPr="001B701A" w:rsidRDefault="00000000" w:rsidP="002C2F50">
      <w:pPr>
        <w:spacing w:before="120" w:after="0" w:line="360" w:lineRule="auto"/>
        <w:jc w:val="both"/>
      </w:pPr>
      <w:r w:rsidRPr="001B701A">
        <w:rPr>
          <w:b/>
          <w:u w:val="single"/>
        </w:rPr>
        <w:t>DOCUMENTO Nº 11</w:t>
      </w:r>
      <w:r w:rsidRPr="001B701A">
        <w:t>: Sentencia nº 157/2025 del Juzgado de Primera Instancia nº 29 de Valencia, de 16 de junio</w:t>
      </w:r>
      <w:r w:rsidR="002C2F50">
        <w:t xml:space="preserve"> de 2025</w:t>
      </w:r>
      <w:r w:rsidRPr="001B701A">
        <w:t>.</w:t>
      </w:r>
    </w:p>
    <w:p w14:paraId="3F234D06" w14:textId="7BEE009B" w:rsidR="00E945B1" w:rsidRDefault="00000000" w:rsidP="002C2F50">
      <w:pPr>
        <w:spacing w:before="120" w:after="0" w:line="360" w:lineRule="auto"/>
        <w:jc w:val="both"/>
      </w:pPr>
      <w:r w:rsidRPr="001B701A">
        <w:rPr>
          <w:b/>
          <w:u w:val="single"/>
        </w:rPr>
        <w:t>DOCUMENTO Nº 12</w:t>
      </w:r>
      <w:r w:rsidRPr="001B701A">
        <w:t>: Sentencia nº 559/2025 del Juzgado de Primera Instancia nº 46 de Madrid, de 10 de diciembre</w:t>
      </w:r>
      <w:r w:rsidR="002C2F50">
        <w:t xml:space="preserve"> de 2025</w:t>
      </w:r>
      <w:r w:rsidRPr="001B701A">
        <w:t>.</w:t>
      </w:r>
    </w:p>
    <w:p w14:paraId="3640829F" w14:textId="73C196B7" w:rsidR="002C2F50" w:rsidRDefault="002C2F50" w:rsidP="002C2F50">
      <w:pPr>
        <w:spacing w:before="120" w:after="0" w:line="360" w:lineRule="auto"/>
        <w:jc w:val="both"/>
      </w:pPr>
      <w:r w:rsidRPr="001B701A">
        <w:rPr>
          <w:b/>
          <w:u w:val="single"/>
        </w:rPr>
        <w:t>DOCUMENTO Nº 1</w:t>
      </w:r>
      <w:r>
        <w:rPr>
          <w:b/>
          <w:u w:val="single"/>
        </w:rPr>
        <w:t>3</w:t>
      </w:r>
      <w:r w:rsidRPr="001B701A">
        <w:t xml:space="preserve">: Sentencia nº </w:t>
      </w:r>
      <w:r w:rsidRPr="002C2F50">
        <w:t>69/2025</w:t>
      </w:r>
      <w:r w:rsidRPr="001B701A">
        <w:t xml:space="preserve"> del Juzgado de Primera Instancia nº </w:t>
      </w:r>
      <w:r>
        <w:t xml:space="preserve">10 </w:t>
      </w:r>
      <w:r w:rsidRPr="001B701A">
        <w:t xml:space="preserve">de </w:t>
      </w:r>
      <w:r>
        <w:t>Barcelona</w:t>
      </w:r>
      <w:r w:rsidRPr="001B701A">
        <w:t xml:space="preserve">, de </w:t>
      </w:r>
      <w:r>
        <w:t xml:space="preserve">10 </w:t>
      </w:r>
      <w:r w:rsidRPr="001B701A">
        <w:t xml:space="preserve">de </w:t>
      </w:r>
      <w:r>
        <w:t>febrero de 2025</w:t>
      </w:r>
      <w:r w:rsidRPr="001B701A">
        <w:t>.</w:t>
      </w:r>
    </w:p>
    <w:p w14:paraId="3E65C9B1" w14:textId="77777777" w:rsidR="002C2F50" w:rsidRPr="00DC764E" w:rsidRDefault="002C2F50" w:rsidP="002C2F50">
      <w:pPr>
        <w:spacing w:before="120" w:after="0" w:line="360" w:lineRule="auto"/>
        <w:jc w:val="both"/>
      </w:pPr>
    </w:p>
    <w:sectPr w:rsidR="002C2F50" w:rsidRPr="00DC764E" w:rsidSect="00034616">
      <w:footerReference w:type="default" r:id="rId12"/>
      <w:pgSz w:w="11906" w:h="16838"/>
      <w:pgMar w:top="1417" w:right="1417" w:bottom="1417" w:left="1417"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olai Tyukhay" w:date="2026-04-27T14:44:00Z" w:initials="NT">
    <w:p w14:paraId="45591517" w14:textId="77777777" w:rsidR="00DC764E" w:rsidRPr="001B701A" w:rsidRDefault="00DC764E" w:rsidP="00DC764E">
      <w:pPr>
        <w:pStyle w:val="Textocomentario"/>
      </w:pPr>
      <w:r w:rsidRPr="001B701A">
        <w:rPr>
          <w:rStyle w:val="Refdecomentario"/>
        </w:rPr>
        <w:annotationRef/>
      </w:r>
      <w:r w:rsidRPr="001B701A">
        <w:t>Eliminar si no es de aplcaición el derecho catalan</w:t>
      </w:r>
    </w:p>
  </w:comment>
  <w:comment w:id="1" w:author="Nikolai Tyukhay" w:date="2026-04-27T14:54:00Z" w:initials="NT">
    <w:p w14:paraId="512D1E19" w14:textId="77777777" w:rsidR="001B701A" w:rsidRDefault="001B701A" w:rsidP="001B701A">
      <w:pPr>
        <w:pStyle w:val="Textocomentario"/>
      </w:pPr>
      <w:r>
        <w:rPr>
          <w:rStyle w:val="Refdecomentario"/>
        </w:rPr>
        <w:annotationRef/>
      </w:r>
      <w:r>
        <w:t>Eliminar si no piden las nulidades</w:t>
      </w:r>
    </w:p>
  </w:comment>
  <w:comment w:id="2" w:author="Nikolai Tyukhay" w:date="2026-04-27T14:46:00Z" w:initials="NT">
    <w:p w14:paraId="6988A2F0" w14:textId="77777777" w:rsidR="001B701A" w:rsidRDefault="001B701A" w:rsidP="001B701A">
      <w:pPr>
        <w:pStyle w:val="Textocomentario"/>
      </w:pPr>
      <w:r w:rsidRPr="001B701A">
        <w:rPr>
          <w:rStyle w:val="Refdecomentario"/>
        </w:rPr>
        <w:annotationRef/>
      </w:r>
      <w:r w:rsidRPr="001B701A">
        <w:t>Eliminar variante si no se facturó al propietario.</w:t>
      </w:r>
    </w:p>
  </w:comment>
  <w:comment w:id="3" w:author="Nikolai Tyukhay" w:date="2026-04-27T14:55:00Z" w:initials="NT">
    <w:p w14:paraId="55B78E0C" w14:textId="77777777" w:rsidR="001B701A" w:rsidRDefault="001B701A" w:rsidP="001B701A">
      <w:pPr>
        <w:pStyle w:val="Textocomentario"/>
      </w:pPr>
      <w:r>
        <w:rPr>
          <w:rStyle w:val="Refdecomentario"/>
        </w:rPr>
        <w:annotationRef/>
      </w:r>
      <w:r>
        <w:t>Eliminar si no piden  la nulidad</w:t>
      </w:r>
    </w:p>
  </w:comment>
  <w:comment w:id="4" w:author="Nikolai Tyukhay" w:date="2026-04-27T14:55:00Z" w:initials="NT">
    <w:p w14:paraId="15769F9C" w14:textId="77777777" w:rsidR="001B701A" w:rsidRDefault="001B701A" w:rsidP="001B701A">
      <w:pPr>
        <w:pStyle w:val="Textocomentario"/>
      </w:pPr>
      <w:r>
        <w:rPr>
          <w:rStyle w:val="Refdecomentario"/>
        </w:rPr>
        <w:annotationRef/>
      </w:r>
      <w:r>
        <w:t>Eliminar si no piden la nulidad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591517" w15:done="0"/>
  <w15:commentEx w15:paraId="512D1E19" w15:done="0"/>
  <w15:commentEx w15:paraId="6988A2F0" w15:done="0"/>
  <w15:commentEx w15:paraId="55B78E0C" w15:done="0"/>
  <w15:commentEx w15:paraId="15769F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C4B43F" w16cex:dateUtc="2026-04-27T12:44:00Z"/>
  <w16cex:commentExtensible w16cex:durableId="7A7DA317" w16cex:dateUtc="2026-04-27T12:54:00Z"/>
  <w16cex:commentExtensible w16cex:durableId="72322E75" w16cex:dateUtc="2026-04-27T12:46:00Z"/>
  <w16cex:commentExtensible w16cex:durableId="071D1824" w16cex:dateUtc="2026-04-27T12:55:00Z"/>
  <w16cex:commentExtensible w16cex:durableId="400ABC45" w16cex:dateUtc="2026-04-27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591517" w16cid:durableId="5CC4B43F"/>
  <w16cid:commentId w16cid:paraId="512D1E19" w16cid:durableId="7A7DA317"/>
  <w16cid:commentId w16cid:paraId="6988A2F0" w16cid:durableId="72322E75"/>
  <w16cid:commentId w16cid:paraId="55B78E0C" w16cid:durableId="071D1824"/>
  <w16cid:commentId w16cid:paraId="15769F9C" w16cid:durableId="400AB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925A" w14:textId="77777777" w:rsidR="008C7F08" w:rsidRPr="001B701A" w:rsidRDefault="008C7F08">
      <w:pPr>
        <w:spacing w:after="0" w:line="240" w:lineRule="auto"/>
      </w:pPr>
      <w:r w:rsidRPr="001B701A">
        <w:separator/>
      </w:r>
    </w:p>
  </w:endnote>
  <w:endnote w:type="continuationSeparator" w:id="0">
    <w:p w14:paraId="7295C038" w14:textId="77777777" w:rsidR="008C7F08" w:rsidRPr="001B701A" w:rsidRDefault="008C7F08">
      <w:pPr>
        <w:spacing w:after="0" w:line="240" w:lineRule="auto"/>
      </w:pPr>
      <w:r w:rsidRPr="001B70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D18F" w14:textId="77777777" w:rsidR="00E945B1" w:rsidRPr="001B701A" w:rsidRDefault="00000000">
    <w:pPr>
      <w:pStyle w:val="Piedepgina"/>
      <w:jc w:val="center"/>
    </w:pPr>
    <w:r w:rsidRPr="001B701A">
      <w:fldChar w:fldCharType="begin"/>
    </w:r>
    <w:r w:rsidRPr="001B701A">
      <w:instrText>PAGE   \* MERGEFORMAT</w:instrText>
    </w:r>
    <w:r w:rsidR="00565A6A" w:rsidRPr="001B701A">
      <w:fldChar w:fldCharType="separate"/>
    </w:r>
    <w:r w:rsidR="00565A6A" w:rsidRPr="001B701A">
      <w:t>1</w:t>
    </w:r>
    <w:r w:rsidRPr="001B701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046A" w14:textId="77777777" w:rsidR="008C7F08" w:rsidRPr="001B701A" w:rsidRDefault="008C7F08">
      <w:pPr>
        <w:spacing w:after="0" w:line="240" w:lineRule="auto"/>
      </w:pPr>
      <w:r w:rsidRPr="001B701A">
        <w:separator/>
      </w:r>
    </w:p>
  </w:footnote>
  <w:footnote w:type="continuationSeparator" w:id="0">
    <w:p w14:paraId="7A428561" w14:textId="77777777" w:rsidR="008C7F08" w:rsidRPr="001B701A" w:rsidRDefault="008C7F08">
      <w:pPr>
        <w:spacing w:after="0" w:line="240" w:lineRule="auto"/>
      </w:pPr>
      <w:r w:rsidRPr="001B701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345678"/>
    <w:multiLevelType w:val="singleLevel"/>
    <w:tmpl w:val="87654321"/>
    <w:lvl w:ilvl="0">
      <w:start w:val="1"/>
      <w:numFmt w:val="decimal"/>
      <w:lvlText w:val="%1."/>
      <w:lvlJc w:val="left"/>
      <w:pPr>
        <w:ind w:left="425" w:hanging="425"/>
      </w:pPr>
      <w:rPr>
        <w:rFonts w:ascii="Times New Roman" w:hAnsi="Times New Roman" w:cs="Times New Roman"/>
        <w:sz w:val="24"/>
      </w:rPr>
    </w:lvl>
  </w:abstractNum>
  <w:abstractNum w:abstractNumId="10" w15:restartNumberingAfterBreak="0">
    <w:nsid w:val="139A3569"/>
    <w:multiLevelType w:val="hybridMultilevel"/>
    <w:tmpl w:val="94B6A0AA"/>
    <w:lvl w:ilvl="0" w:tplc="18C811BC">
      <w:start w:val="1"/>
      <w:numFmt w:val="decimal"/>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94940398">
    <w:abstractNumId w:val="8"/>
  </w:num>
  <w:num w:numId="2" w16cid:durableId="602805944">
    <w:abstractNumId w:val="6"/>
  </w:num>
  <w:num w:numId="3" w16cid:durableId="483275755">
    <w:abstractNumId w:val="5"/>
  </w:num>
  <w:num w:numId="4" w16cid:durableId="112794930">
    <w:abstractNumId w:val="4"/>
  </w:num>
  <w:num w:numId="5" w16cid:durableId="345637996">
    <w:abstractNumId w:val="7"/>
  </w:num>
  <w:num w:numId="6" w16cid:durableId="1889603985">
    <w:abstractNumId w:val="3"/>
  </w:num>
  <w:num w:numId="7" w16cid:durableId="1002313929">
    <w:abstractNumId w:val="2"/>
  </w:num>
  <w:num w:numId="8" w16cid:durableId="415057562">
    <w:abstractNumId w:val="1"/>
  </w:num>
  <w:num w:numId="9" w16cid:durableId="1253860167">
    <w:abstractNumId w:val="0"/>
  </w:num>
  <w:num w:numId="10" w16cid:durableId="378630741">
    <w:abstractNumId w:val="9"/>
  </w:num>
  <w:num w:numId="11" w16cid:durableId="4035328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lai Tyukhay">
    <w15:presenceInfo w15:providerId="AD" w15:userId="S::tyukhay@NikolaiTyukhay.onmicrosoft.com::fd0b90f1-7dd7-42eb-8d3a-78eec3643c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4B8"/>
    <w:rsid w:val="00034616"/>
    <w:rsid w:val="0006063C"/>
    <w:rsid w:val="0015074B"/>
    <w:rsid w:val="001B701A"/>
    <w:rsid w:val="0020696D"/>
    <w:rsid w:val="00293D4F"/>
    <w:rsid w:val="0029639D"/>
    <w:rsid w:val="002B659E"/>
    <w:rsid w:val="002C2F50"/>
    <w:rsid w:val="00326F90"/>
    <w:rsid w:val="00565A6A"/>
    <w:rsid w:val="008C7F08"/>
    <w:rsid w:val="0095558C"/>
    <w:rsid w:val="00A97065"/>
    <w:rsid w:val="00AA1D8D"/>
    <w:rsid w:val="00B267F1"/>
    <w:rsid w:val="00B47730"/>
    <w:rsid w:val="00CB0664"/>
    <w:rsid w:val="00DC764E"/>
    <w:rsid w:val="00E94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01C43"/>
  <w14:defaultImageDpi w14:val="300"/>
  <w15:docId w15:val="{0F4BE9ED-0F1F-4B06-AF06-8494B8B3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50"/>
    <w:rPr>
      <w:rFonts w:ascii="Times New Roman" w:hAnsi="Times New Roman"/>
      <w:sz w:val="24"/>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565A6A"/>
    <w:pPr>
      <w:spacing w:after="0" w:line="240" w:lineRule="auto"/>
    </w:pPr>
    <w:rPr>
      <w:rFonts w:ascii="Times New Roman" w:hAnsi="Times New Roman"/>
      <w:sz w:val="24"/>
    </w:rPr>
  </w:style>
  <w:style w:type="character" w:styleId="Refdecomentario">
    <w:name w:val="annotation reference"/>
    <w:basedOn w:val="Fuentedeprrafopredeter"/>
    <w:uiPriority w:val="99"/>
    <w:semiHidden/>
    <w:unhideWhenUsed/>
    <w:rsid w:val="00565A6A"/>
    <w:rPr>
      <w:sz w:val="16"/>
      <w:szCs w:val="16"/>
    </w:rPr>
  </w:style>
  <w:style w:type="paragraph" w:styleId="Textocomentario">
    <w:name w:val="annotation text"/>
    <w:basedOn w:val="Normal"/>
    <w:link w:val="TextocomentarioCar"/>
    <w:uiPriority w:val="99"/>
    <w:unhideWhenUsed/>
    <w:rsid w:val="00565A6A"/>
    <w:pPr>
      <w:spacing w:line="240" w:lineRule="auto"/>
    </w:pPr>
    <w:rPr>
      <w:sz w:val="20"/>
      <w:szCs w:val="20"/>
    </w:rPr>
  </w:style>
  <w:style w:type="character" w:customStyle="1" w:styleId="TextocomentarioCar">
    <w:name w:val="Texto comentario Car"/>
    <w:basedOn w:val="Fuentedeprrafopredeter"/>
    <w:link w:val="Textocomentario"/>
    <w:uiPriority w:val="99"/>
    <w:rsid w:val="00565A6A"/>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565A6A"/>
    <w:rPr>
      <w:b/>
      <w:bCs/>
    </w:rPr>
  </w:style>
  <w:style w:type="character" w:customStyle="1" w:styleId="AsuntodelcomentarioCar">
    <w:name w:val="Asunto del comentario Car"/>
    <w:basedOn w:val="TextocomentarioCar"/>
    <w:link w:val="Asuntodelcomentario"/>
    <w:uiPriority w:val="99"/>
    <w:semiHidden/>
    <w:rsid w:val="00565A6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28</Pages>
  <Words>9515</Words>
  <Characters>52338</Characters>
  <Application>Microsoft Office Word</Application>
  <DocSecurity>0</DocSecurity>
  <Lines>436</Lines>
  <Paragraphs>123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Nikolai Tyukhay</cp:lastModifiedBy>
  <cp:revision>4</cp:revision>
  <dcterms:created xsi:type="dcterms:W3CDTF">2026-04-27T12:38:00Z</dcterms:created>
  <dcterms:modified xsi:type="dcterms:W3CDTF">2026-04-27T13:06:00Z</dcterms:modified>
  <cp:category/>
</cp:coreProperties>
</file>