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color="e2e8f0" w:space="0" w:sz="0" w:val="none"/>
          <w:left w:color="e2e8f0" w:space="0" w:sz="0" w:val="none"/>
          <w:bottom w:color="e2e8f0" w:space="0" w:sz="0" w:val="none"/>
          <w:right w:color="e2e8f0" w:space="0" w:sz="0" w:val="none"/>
          <w:between w:color="e2e8f0" w:space="0" w:sz="0" w:val="none"/>
        </w:pBdr>
        <w:shd w:fill="f7f7f7" w:val="clear"/>
        <w:spacing w:after="480" w:lineRule="auto"/>
        <w:ind w:left="720" w:hanging="360"/>
      </w:pPr>
      <w:r w:rsidDel="00000000" w:rsidR="00000000" w:rsidRPr="00000000">
        <w:rPr>
          <w:rFonts w:ascii="Times New Roman" w:cs="Times New Roman" w:eastAsia="Times New Roman" w:hAnsi="Times New Roman"/>
          <w:color w:val="282828"/>
          <w:sz w:val="32"/>
          <w:szCs w:val="32"/>
          <w:rtl w:val="0"/>
        </w:rPr>
        <w:t xml:space="preserve">Everyone belongs to many different communities and/or groups defined by (among other things) shared geography, religion, ethnicity, income, cuisine, interest, race, ideology, or intellectual heritage. Choose one of the communities to which you belong, and describe that community and your place within it. </w:t>
      </w:r>
      <w:r w:rsidDel="00000000" w:rsidR="00000000" w:rsidRPr="00000000">
        <w:rPr>
          <w:rFonts w:ascii="Times New Roman" w:cs="Times New Roman" w:eastAsia="Times New Roman" w:hAnsi="Times New Roman"/>
          <w:i w:val="1"/>
          <w:iCs w:val="1"/>
          <w:color w:val="282828"/>
          <w:sz w:val="32"/>
          <w:szCs w:val="32"/>
          <w:rtl w:val="0"/>
        </w:rPr>
        <w:t xml:space="preserve">(Required for all applicants; minimum 100 words/maximum 300 words)</w:t>
      </w:r>
      <w:r w:rsidDel="00000000" w:rsidR="00000000" w:rsidRPr="00000000">
        <w:rPr>
          <w:rtl w:val="0"/>
        </w:rPr>
      </w:r>
    </w:p>
    <w:p w:rsidR="00000000" w:rsidDel="00000000" w:rsidP="00000000" w:rsidRDefault="00000000" w:rsidRPr="00000000" w14:paraId="0000000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 words</w:t>
      </w:r>
    </w:p>
    <w:p w:rsidR="00000000" w:rsidDel="00000000" w:rsidP="00000000" w:rsidRDefault="00000000" w:rsidRPr="00000000" w14:paraId="0000000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viola?” It’s a question my friends often throw at me, accompanied by the common misconception that the viola plays a less </w:t>
      </w:r>
      <w:r w:rsidDel="00000000" w:rsidR="00000000" w:rsidRPr="00000000">
        <w:rPr>
          <w:rFonts w:ascii="Times New Roman" w:cs="Times New Roman" w:eastAsia="Times New Roman" w:hAnsi="Times New Roman"/>
          <w:highlight w:val="white"/>
          <w:rtl w:val="0"/>
        </w:rPr>
        <w:t xml:space="preserve">significant role in an orchestra or quartet. However, the viola has evolved into an indispensable part of me. It shapes who I am, a bridge maker, balancing two sides of groups to work tow</w:t>
      </w:r>
      <w:r w:rsidDel="00000000" w:rsidR="00000000" w:rsidRPr="00000000">
        <w:rPr>
          <w:rFonts w:ascii="Times New Roman" w:cs="Times New Roman" w:eastAsia="Times New Roman" w:hAnsi="Times New Roman"/>
          <w:rtl w:val="0"/>
        </w:rPr>
        <w:t xml:space="preserve">ard the same goal. </w:t>
      </w:r>
    </w:p>
    <w:p w:rsidR="00000000" w:rsidDel="00000000" w:rsidP="00000000" w:rsidRDefault="00000000" w:rsidRPr="00000000" w14:paraId="0000000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ab/>
        <w:t xml:space="preserve">Amidst the performance of the Mendelssohn String Quartet No. 2 in A minor, Op. 13, I began to appreciate the unique role of the viola within the ensemble. Not positioned as a leading section, the viola serves as a compromiser, </w:t>
      </w:r>
      <w:r w:rsidDel="00000000" w:rsidR="00000000" w:rsidRPr="00000000">
        <w:rPr>
          <w:rFonts w:ascii="Times New Roman" w:cs="Times New Roman" w:eastAsia="Times New Roman" w:hAnsi="Times New Roman"/>
          <w:highlight w:val="white"/>
          <w:rtl w:val="0"/>
        </w:rPr>
        <w:t xml:space="preserve">forging connections between the cello and violins. Playing this string quartet, I perceive myself as a painter in the world of harmonies. My notes often flow between two distant parts of notes - soprano and base - integrating and connecting them to weave together disparate threads, creating a seamless and captivating richness of sound.</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character extends beyond music. In Robotics, I bring programmers and builders together to understand each other’s difficulties and challenges and come up with solutions that integrate both. In college, I envision myself as an interdisciplinary learner, merging engineering and other fields to create algorithms that bridge science and humanity.</w:t>
      </w:r>
    </w:p>
    <w:p w:rsidR="00000000" w:rsidDel="00000000" w:rsidP="00000000" w:rsidRDefault="00000000" w:rsidRPr="00000000" w14:paraId="0000000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Bridging, as in my musical endeavors, is a fundamental part of my character. This in-the-middle perspective has enriched my understanding of the world and empowered me to be a more compassionate and effective member of any community. This is who I am, and this is the soul of viola. </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color w:val="282828"/>
        <w:sz w:val="32"/>
        <w:szCs w:val="3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