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222222"/>
          <w:sz w:val="21"/>
          <w:szCs w:val="21"/>
          <w:highlight w:val="white"/>
        </w:rPr>
      </w:pPr>
      <w:r w:rsidDel="00000000" w:rsidR="00000000" w:rsidRPr="00000000">
        <w:rPr>
          <w:color w:val="222222"/>
          <w:sz w:val="21"/>
          <w:szCs w:val="21"/>
          <w:highlight w:val="white"/>
          <w:rtl w:val="0"/>
        </w:rPr>
        <w:t xml:space="preserve">We want to be sure we’re considering your application in the context of your personal experiences: What aspects of your background, your identity, or your school, community, and/or household settings have most shaped how you see yourself engaging in Northwestern’s community, be it academically, extracurricularly, culturally, politically, socially, or otherwise? (fewer than 300 words)</w:t>
      </w:r>
    </w:p>
    <w:p w:rsidR="00000000" w:rsidDel="00000000" w:rsidP="00000000" w:rsidRDefault="00000000" w:rsidRPr="00000000" w14:paraId="00000002">
      <w:pPr>
        <w:rPr>
          <w:color w:val="222222"/>
          <w:sz w:val="21"/>
          <w:szCs w:val="21"/>
          <w:highlight w:val="white"/>
        </w:rPr>
      </w:pPr>
      <w:r w:rsidDel="00000000" w:rsidR="00000000" w:rsidRPr="00000000">
        <w:rPr>
          <w:rtl w:val="0"/>
        </w:rPr>
      </w:r>
    </w:p>
    <w:p w:rsidR="00000000" w:rsidDel="00000000" w:rsidP="00000000" w:rsidRDefault="00000000" w:rsidRPr="00000000" w14:paraId="00000003">
      <w:pPr>
        <w:rPr>
          <w:color w:val="222222"/>
          <w:sz w:val="21"/>
          <w:szCs w:val="21"/>
          <w:highlight w:val="white"/>
        </w:rPr>
      </w:pPr>
      <w:r w:rsidDel="00000000" w:rsidR="00000000" w:rsidRPr="00000000">
        <w:rPr>
          <w:color w:val="222222"/>
          <w:sz w:val="21"/>
          <w:szCs w:val="21"/>
          <w:highlight w:val="white"/>
          <w:rtl w:val="0"/>
        </w:rPr>
        <w:t xml:space="preserve">300</w:t>
      </w:r>
    </w:p>
    <w:p w:rsidR="00000000" w:rsidDel="00000000" w:rsidP="00000000" w:rsidRDefault="00000000" w:rsidRPr="00000000" w14:paraId="00000004">
      <w:pPr>
        <w:spacing w:after="240" w:before="240" w:lineRule="auto"/>
        <w:rPr>
          <w:color w:val="222222"/>
          <w:sz w:val="21"/>
          <w:szCs w:val="21"/>
          <w:highlight w:val="white"/>
        </w:rPr>
      </w:pPr>
      <w:r w:rsidDel="00000000" w:rsidR="00000000" w:rsidRPr="00000000">
        <w:rPr>
          <w:color w:val="222222"/>
          <w:sz w:val="21"/>
          <w:szCs w:val="21"/>
          <w:highlight w:val="white"/>
          <w:rtl w:val="0"/>
        </w:rPr>
        <w:t xml:space="preserve">“Why viola?” It’s a question my friends often ask me, accompanied by the common misconception that the viola plays a less significant role in an orchestra or quartet. Yet, the viola defines me as an unsung hero, a bridge maker who comfortably operates behind the spotlight.</w:t>
      </w:r>
    </w:p>
    <w:p w:rsidR="00000000" w:rsidDel="00000000" w:rsidP="00000000" w:rsidRDefault="00000000" w:rsidRPr="00000000" w14:paraId="00000005">
      <w:pPr>
        <w:spacing w:after="240" w:before="240" w:lineRule="auto"/>
        <w:rPr>
          <w:color w:val="222222"/>
          <w:sz w:val="21"/>
          <w:szCs w:val="21"/>
          <w:highlight w:val="white"/>
        </w:rPr>
      </w:pPr>
      <w:r w:rsidDel="00000000" w:rsidR="00000000" w:rsidRPr="00000000">
        <w:rPr>
          <w:color w:val="222222"/>
          <w:sz w:val="21"/>
          <w:szCs w:val="21"/>
          <w:highlight w:val="white"/>
          <w:rtl w:val="0"/>
        </w:rPr>
        <w:t xml:space="preserve">Amidst the performance of the Mendelssohn String Quartet No. 2 in A minor, Op. 13, I began to appreciate the distinct role of the viola within the ensemble. Not positioned as a leading section, the viola serves as a compromiser, weaving connections between the cello and violins. Playing this string quartet, I perceive myself as a painter in the world of harmonies. I am the player who enriches the sound, deciding the chord’s tonality, and shaping the very color of the piece. This feels akin to being a hidden hero, crafting the soul of the composition.</w:t>
      </w:r>
    </w:p>
    <w:p w:rsidR="00000000" w:rsidDel="00000000" w:rsidP="00000000" w:rsidRDefault="00000000" w:rsidRPr="00000000" w14:paraId="00000006">
      <w:pPr>
        <w:spacing w:after="240" w:before="240" w:lineRule="auto"/>
        <w:rPr>
          <w:color w:val="222222"/>
          <w:sz w:val="21"/>
          <w:szCs w:val="21"/>
          <w:highlight w:val="white"/>
        </w:rPr>
      </w:pPr>
      <w:r w:rsidDel="00000000" w:rsidR="00000000" w:rsidRPr="00000000">
        <w:rPr>
          <w:color w:val="222222"/>
          <w:sz w:val="21"/>
          <w:szCs w:val="21"/>
          <w:highlight w:val="white"/>
          <w:rtl w:val="0"/>
        </w:rPr>
        <w:t xml:space="preserve">Instead of being a superstar, I rather be an unsung hero, someone willing to step away from the spotlight - becoming the person who nurtures others. This preference doesn’t diminish the importance of this role. In fact, they are often the vital components. Take Iron Man as an example, the quintessential star, which embodies the superhero’s characteristic traits flawlessly. However, without the cameramen, scriptwriters, and editors behind the scenes, there would be no Iron Man.  </w:t>
      </w:r>
    </w:p>
    <w:p w:rsidR="00000000" w:rsidDel="00000000" w:rsidP="00000000" w:rsidRDefault="00000000" w:rsidRPr="00000000" w14:paraId="00000007">
      <w:pPr>
        <w:spacing w:after="240" w:before="240" w:lineRule="auto"/>
        <w:rPr>
          <w:color w:val="222222"/>
          <w:sz w:val="21"/>
          <w:szCs w:val="21"/>
          <w:highlight w:val="white"/>
        </w:rPr>
      </w:pPr>
      <w:r w:rsidDel="00000000" w:rsidR="00000000" w:rsidRPr="00000000">
        <w:rPr>
          <w:color w:val="222222"/>
          <w:sz w:val="21"/>
          <w:szCs w:val="21"/>
          <w:highlight w:val="white"/>
          <w:rtl w:val="0"/>
        </w:rPr>
        <w:t xml:space="preserve">In college, it's important to realize that we will not always be or need to be in the spotlight; recognizing the value of every role we play within a group is crucial—every individual contributes in their unique way. I want to bring this philosophy to the Northwestern community, whether in the realm of music or academic groups. Everyone has his or her opportunity to shine. I believe only when we recognize our strengths can we be motivated and put 100% effort into everything.</w:t>
      </w:r>
    </w:p>
    <w:p w:rsidR="00000000" w:rsidDel="00000000" w:rsidP="00000000" w:rsidRDefault="00000000" w:rsidRPr="00000000" w14:paraId="00000008">
      <w:pPr>
        <w:rPr>
          <w:color w:val="222222"/>
          <w:sz w:val="21"/>
          <w:szCs w:val="21"/>
          <w:highlight w:val="white"/>
        </w:rPr>
      </w:pPr>
      <w:r w:rsidDel="00000000" w:rsidR="00000000" w:rsidRPr="00000000">
        <w:rPr>
          <w:rtl w:val="0"/>
        </w:rPr>
      </w:r>
    </w:p>
    <w:p w:rsidR="00000000" w:rsidDel="00000000" w:rsidP="00000000" w:rsidRDefault="00000000" w:rsidRPr="00000000" w14:paraId="00000009">
      <w:pPr>
        <w:rPr>
          <w:color w:val="e00029"/>
          <w:sz w:val="21"/>
          <w:szCs w:val="21"/>
          <w:highlight w:val="white"/>
        </w:rPr>
      </w:pPr>
      <w:r w:rsidDel="00000000" w:rsidR="00000000" w:rsidRPr="00000000">
        <w:rPr>
          <w:rtl w:val="0"/>
        </w:rPr>
      </w:r>
    </w:p>
    <w:p w:rsidR="00000000" w:rsidDel="00000000" w:rsidP="00000000" w:rsidRDefault="00000000" w:rsidRPr="00000000" w14:paraId="0000000A">
      <w:pPr>
        <w:rPr>
          <w:color w:val="e00029"/>
          <w:sz w:val="21"/>
          <w:szCs w:val="21"/>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